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B8B28">
      <w:pPr>
        <w:autoSpaceDE w:val="0"/>
        <w:autoSpaceDN w:val="0"/>
        <w:adjustRightInd w:val="0"/>
        <w:ind w:firstLine="960" w:firstLineChars="400"/>
        <w:jc w:val="left"/>
        <w:rPr>
          <w:rFonts w:hint="eastAsia" w:ascii="宋体" w:hAnsi="宋体" w:eastAsia="宋体" w:cs="宋体"/>
          <w:kern w:val="0"/>
          <w:sz w:val="24"/>
          <w:szCs w:val="24"/>
        </w:rPr>
      </w:pPr>
    </w:p>
    <w:p w14:paraId="5AAD6C98">
      <w:pPr>
        <w:autoSpaceDE w:val="0"/>
        <w:autoSpaceDN w:val="0"/>
        <w:adjustRightInd w:val="0"/>
        <w:ind w:firstLine="960" w:firstLineChars="400"/>
        <w:jc w:val="left"/>
        <w:rPr>
          <w:rFonts w:hint="eastAsia" w:ascii="宋体" w:hAnsi="宋体" w:eastAsia="宋体" w:cs="宋体"/>
          <w:kern w:val="0"/>
          <w:sz w:val="24"/>
          <w:szCs w:val="24"/>
        </w:rPr>
      </w:pPr>
    </w:p>
    <w:p w14:paraId="54B55404">
      <w:pPr>
        <w:pStyle w:val="2"/>
        <w:bidi w:val="0"/>
        <w:ind w:firstLine="3092" w:firstLineChars="700"/>
        <w:rPr>
          <w:rFonts w:hint="eastAsia"/>
        </w:rPr>
      </w:pPr>
      <w:r>
        <w:rPr>
          <w:rFonts w:hint="eastAsia"/>
        </w:rPr>
        <w:t>社会责任报告</w:t>
      </w:r>
    </w:p>
    <w:p w14:paraId="23A485FC">
      <w:pPr>
        <w:autoSpaceDE w:val="0"/>
        <w:autoSpaceDN w:val="0"/>
        <w:adjustRightInd w:val="0"/>
        <w:ind w:firstLine="960" w:firstLineChars="400"/>
        <w:jc w:val="left"/>
        <w:rPr>
          <w:rFonts w:hint="eastAsia" w:ascii="宋体" w:hAnsi="宋体" w:eastAsia="宋体" w:cs="宋体"/>
          <w:kern w:val="0"/>
          <w:sz w:val="24"/>
          <w:szCs w:val="24"/>
        </w:rPr>
      </w:pPr>
    </w:p>
    <w:p w14:paraId="009A64A7">
      <w:pPr>
        <w:autoSpaceDE w:val="0"/>
        <w:autoSpaceDN w:val="0"/>
        <w:adjustRightInd w:val="0"/>
        <w:jc w:val="left"/>
        <w:rPr>
          <w:rFonts w:hint="eastAsia" w:ascii="宋体" w:hAnsi="宋体" w:eastAsia="宋体" w:cs="宋体"/>
          <w:kern w:val="0"/>
          <w:sz w:val="24"/>
          <w:szCs w:val="24"/>
        </w:rPr>
      </w:pPr>
      <w:r>
        <w:drawing>
          <wp:inline distT="0" distB="0" distL="114300" distR="114300">
            <wp:extent cx="5721350" cy="3814445"/>
            <wp:effectExtent l="0" t="0" r="1270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21350" cy="3814445"/>
                    </a:xfrm>
                    <a:prstGeom prst="rect">
                      <a:avLst/>
                    </a:prstGeom>
                    <a:noFill/>
                    <a:ln>
                      <a:noFill/>
                    </a:ln>
                  </pic:spPr>
                </pic:pic>
              </a:graphicData>
            </a:graphic>
          </wp:inline>
        </w:drawing>
      </w:r>
    </w:p>
    <w:p w14:paraId="0405F6C3">
      <w:pPr>
        <w:autoSpaceDE w:val="0"/>
        <w:autoSpaceDN w:val="0"/>
        <w:adjustRightInd w:val="0"/>
        <w:ind w:firstLine="3360" w:firstLineChars="1400"/>
        <w:jc w:val="left"/>
        <w:rPr>
          <w:rFonts w:hint="eastAsia" w:ascii="宋体" w:hAnsi="宋体" w:eastAsia="宋体" w:cs="宋体"/>
          <w:kern w:val="0"/>
          <w:sz w:val="24"/>
          <w:szCs w:val="24"/>
        </w:rPr>
      </w:pPr>
    </w:p>
    <w:p w14:paraId="0BF3840B">
      <w:pPr>
        <w:pStyle w:val="2"/>
        <w:bidi w:val="0"/>
        <w:rPr>
          <w:rFonts w:hint="eastAsia"/>
        </w:rPr>
      </w:pPr>
    </w:p>
    <w:p w14:paraId="799DFDFE">
      <w:pPr>
        <w:pStyle w:val="2"/>
        <w:bidi w:val="0"/>
        <w:jc w:val="center"/>
        <w:rPr>
          <w:rFonts w:hint="eastAsia"/>
        </w:rPr>
      </w:pPr>
      <w:r>
        <w:rPr>
          <w:rFonts w:hint="eastAsia"/>
        </w:rPr>
        <w:t>浙江新化化工股份有限公司</w:t>
      </w:r>
    </w:p>
    <w:p w14:paraId="7C8153ED">
      <w:pPr>
        <w:autoSpaceDE w:val="0"/>
        <w:autoSpaceDN w:val="0"/>
        <w:adjustRightInd w:val="0"/>
        <w:ind w:firstLine="2988" w:firstLineChars="1245"/>
        <w:jc w:val="left"/>
        <w:rPr>
          <w:rFonts w:hint="eastAsia" w:ascii="宋体" w:hAnsi="宋体" w:eastAsia="宋体" w:cs="宋体"/>
          <w:kern w:val="0"/>
          <w:sz w:val="24"/>
          <w:szCs w:val="24"/>
        </w:rPr>
      </w:pPr>
    </w:p>
    <w:p w14:paraId="71810A27">
      <w:pPr>
        <w:autoSpaceDE w:val="0"/>
        <w:autoSpaceDN w:val="0"/>
        <w:adjustRightInd w:val="0"/>
        <w:ind w:firstLine="3840" w:firstLineChars="1600"/>
        <w:jc w:val="left"/>
        <w:rPr>
          <w:rFonts w:hint="eastAsia" w:ascii="宋体" w:hAnsi="宋体" w:eastAsia="宋体" w:cs="宋体"/>
          <w:kern w:val="0"/>
          <w:sz w:val="24"/>
          <w:szCs w:val="24"/>
        </w:rPr>
      </w:pPr>
      <w:r>
        <w:rPr>
          <w:rFonts w:hint="eastAsia" w:ascii="宋体" w:hAnsi="宋体" w:cs="宋体"/>
          <w:kern w:val="0"/>
          <w:sz w:val="24"/>
          <w:szCs w:val="24"/>
          <w:lang w:eastAsia="zh-CN"/>
        </w:rPr>
        <w:t>二</w:t>
      </w:r>
      <w:r>
        <w:rPr>
          <w:rFonts w:hint="eastAsia" w:ascii="宋体" w:hAnsi="宋体" w:cs="宋体"/>
          <w:kern w:val="0"/>
          <w:sz w:val="24"/>
          <w:szCs w:val="24"/>
          <w:lang w:val="en-US" w:eastAsia="zh-CN"/>
        </w:rPr>
        <w:t>O二五</w:t>
      </w:r>
      <w:r>
        <w:rPr>
          <w:rFonts w:hint="eastAsia" w:ascii="宋体" w:hAnsi="宋体" w:eastAsia="宋体" w:cs="宋体"/>
          <w:kern w:val="0"/>
          <w:sz w:val="24"/>
          <w:szCs w:val="24"/>
        </w:rPr>
        <w:t>年</w:t>
      </w:r>
      <w:r>
        <w:rPr>
          <w:rFonts w:hint="eastAsia" w:ascii="宋体" w:hAnsi="宋体" w:cs="宋体"/>
          <w:kern w:val="0"/>
          <w:sz w:val="24"/>
          <w:szCs w:val="24"/>
          <w:lang w:eastAsia="zh-CN"/>
        </w:rPr>
        <w:t>九</w:t>
      </w:r>
      <w:r>
        <w:rPr>
          <w:rFonts w:hint="eastAsia" w:ascii="宋体" w:hAnsi="宋体" w:eastAsia="宋体" w:cs="宋体"/>
          <w:kern w:val="0"/>
          <w:sz w:val="24"/>
          <w:szCs w:val="24"/>
        </w:rPr>
        <w:t>月</w:t>
      </w:r>
    </w:p>
    <w:p w14:paraId="6E24FCEE">
      <w:pPr>
        <w:autoSpaceDE w:val="0"/>
        <w:autoSpaceDN w:val="0"/>
        <w:adjustRightInd w:val="0"/>
        <w:ind w:firstLine="960" w:firstLineChars="400"/>
        <w:jc w:val="left"/>
        <w:rPr>
          <w:rFonts w:hint="eastAsia" w:ascii="宋体" w:hAnsi="宋体" w:eastAsia="宋体" w:cs="宋体"/>
          <w:kern w:val="0"/>
          <w:sz w:val="24"/>
          <w:szCs w:val="24"/>
        </w:rPr>
      </w:pPr>
    </w:p>
    <w:p w14:paraId="655D209D">
      <w:pPr>
        <w:autoSpaceDE w:val="0"/>
        <w:autoSpaceDN w:val="0"/>
        <w:adjustRightInd w:val="0"/>
        <w:ind w:firstLine="960" w:firstLineChars="400"/>
        <w:jc w:val="left"/>
        <w:rPr>
          <w:rFonts w:hint="eastAsia" w:ascii="宋体" w:hAnsi="宋体" w:eastAsia="宋体" w:cs="宋体"/>
          <w:kern w:val="0"/>
          <w:sz w:val="24"/>
          <w:szCs w:val="24"/>
        </w:rPr>
      </w:pPr>
    </w:p>
    <w:p w14:paraId="03AB797A">
      <w:pPr>
        <w:autoSpaceDE w:val="0"/>
        <w:autoSpaceDN w:val="0"/>
        <w:adjustRightInd w:val="0"/>
        <w:ind w:firstLine="960" w:firstLineChars="400"/>
        <w:jc w:val="left"/>
        <w:rPr>
          <w:rFonts w:hint="eastAsia" w:ascii="宋体" w:hAnsi="宋体" w:eastAsia="宋体" w:cs="宋体"/>
          <w:kern w:val="0"/>
          <w:sz w:val="24"/>
          <w:szCs w:val="24"/>
        </w:rPr>
      </w:pPr>
    </w:p>
    <w:p w14:paraId="39CF869D">
      <w:pPr>
        <w:autoSpaceDE w:val="0"/>
        <w:autoSpaceDN w:val="0"/>
        <w:adjustRightInd w:val="0"/>
        <w:ind w:firstLine="960" w:firstLineChars="400"/>
        <w:jc w:val="left"/>
        <w:rPr>
          <w:rFonts w:hint="eastAsia" w:ascii="宋体" w:hAnsi="宋体" w:eastAsia="宋体" w:cs="宋体"/>
          <w:kern w:val="0"/>
          <w:sz w:val="24"/>
          <w:szCs w:val="24"/>
        </w:rPr>
      </w:pPr>
    </w:p>
    <w:p w14:paraId="4F6BCBCC">
      <w:pPr>
        <w:autoSpaceDE w:val="0"/>
        <w:autoSpaceDN w:val="0"/>
        <w:adjustRightInd w:val="0"/>
        <w:spacing w:before="156" w:beforeLines="50" w:line="400" w:lineRule="exact"/>
        <w:ind w:firstLine="3840" w:firstLineChars="1600"/>
        <w:jc w:val="left"/>
        <w:rPr>
          <w:rFonts w:hint="eastAsia" w:ascii="宋体" w:hAnsi="宋体" w:eastAsia="宋体" w:cs="宋体"/>
          <w:kern w:val="0"/>
          <w:sz w:val="24"/>
          <w:szCs w:val="24"/>
        </w:rPr>
      </w:pPr>
    </w:p>
    <w:p w14:paraId="31FC6FF0">
      <w:pPr>
        <w:autoSpaceDE w:val="0"/>
        <w:autoSpaceDN w:val="0"/>
        <w:adjustRightInd w:val="0"/>
        <w:spacing w:before="156" w:beforeLines="50" w:line="400" w:lineRule="exact"/>
        <w:ind w:firstLine="3840" w:firstLineChars="1600"/>
        <w:jc w:val="left"/>
        <w:rPr>
          <w:rFonts w:hint="eastAsia" w:ascii="宋体" w:hAnsi="宋体" w:eastAsia="宋体" w:cs="宋体"/>
          <w:kern w:val="0"/>
          <w:sz w:val="24"/>
          <w:szCs w:val="24"/>
        </w:rPr>
      </w:pPr>
    </w:p>
    <w:p w14:paraId="6B9710F8">
      <w:pPr>
        <w:autoSpaceDE w:val="0"/>
        <w:autoSpaceDN w:val="0"/>
        <w:adjustRightInd w:val="0"/>
        <w:spacing w:before="156" w:beforeLines="50" w:line="400" w:lineRule="exact"/>
        <w:ind w:firstLine="3840" w:firstLineChars="1600"/>
        <w:jc w:val="left"/>
        <w:rPr>
          <w:rFonts w:hint="eastAsia" w:ascii="宋体" w:hAnsi="宋体" w:eastAsia="宋体" w:cs="宋体"/>
          <w:kern w:val="0"/>
          <w:sz w:val="24"/>
          <w:szCs w:val="24"/>
        </w:rPr>
      </w:pPr>
    </w:p>
    <w:p w14:paraId="0EE715C2">
      <w:pPr>
        <w:autoSpaceDE w:val="0"/>
        <w:autoSpaceDN w:val="0"/>
        <w:adjustRightInd w:val="0"/>
        <w:spacing w:before="156" w:beforeLines="50" w:line="400" w:lineRule="exact"/>
        <w:ind w:firstLine="3840" w:firstLineChars="1600"/>
        <w:jc w:val="left"/>
        <w:rPr>
          <w:rFonts w:hint="eastAsia" w:ascii="宋体" w:hAnsi="宋体" w:eastAsia="宋体" w:cs="宋体"/>
          <w:kern w:val="0"/>
          <w:sz w:val="24"/>
          <w:szCs w:val="24"/>
        </w:rPr>
      </w:pPr>
      <w:r>
        <w:rPr>
          <w:rFonts w:hint="eastAsia" w:ascii="宋体" w:hAnsi="宋体" w:eastAsia="宋体" w:cs="宋体"/>
          <w:kern w:val="0"/>
          <w:sz w:val="24"/>
          <w:szCs w:val="24"/>
        </w:rPr>
        <w:t>郑重声明</w:t>
      </w:r>
    </w:p>
    <w:p w14:paraId="23B04802">
      <w:pPr>
        <w:autoSpaceDE w:val="0"/>
        <w:autoSpaceDN w:val="0"/>
        <w:adjustRightInd w:val="0"/>
        <w:spacing w:line="400" w:lineRule="exact"/>
        <w:ind w:firstLine="960" w:firstLineChars="400"/>
        <w:jc w:val="left"/>
        <w:rPr>
          <w:rFonts w:hint="eastAsia" w:ascii="宋体" w:hAnsi="宋体" w:eastAsia="宋体" w:cs="宋体"/>
          <w:kern w:val="0"/>
          <w:sz w:val="24"/>
          <w:szCs w:val="24"/>
        </w:rPr>
      </w:pPr>
    </w:p>
    <w:p w14:paraId="74EF4965">
      <w:pPr>
        <w:autoSpaceDE w:val="0"/>
        <w:autoSpaceDN w:val="0"/>
        <w:adjustRightIn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本公司出具的社会责任报告，是依据国家有关质量法律、法规等进行撰写。报告中关于公司社会责任是公司现状的真实反映，本公司对报告内容的客观性负责，对相关论述和结论真实性和科学性负责。</w:t>
      </w:r>
    </w:p>
    <w:p w14:paraId="758A3EAE">
      <w:pPr>
        <w:spacing w:line="520" w:lineRule="exact"/>
        <w:ind w:firstLine="4320" w:firstLineChars="1800"/>
        <w:rPr>
          <w:rFonts w:hint="eastAsia" w:ascii="宋体" w:hAnsi="宋体" w:eastAsia="宋体" w:cs="宋体"/>
          <w:kern w:val="0"/>
          <w:sz w:val="24"/>
          <w:szCs w:val="24"/>
        </w:rPr>
      </w:pPr>
    </w:p>
    <w:p w14:paraId="57FE2D73">
      <w:pPr>
        <w:spacing w:line="520" w:lineRule="exact"/>
        <w:ind w:firstLine="4320" w:firstLineChars="1800"/>
        <w:rPr>
          <w:rFonts w:hint="eastAsia" w:ascii="宋体" w:hAnsi="宋体" w:eastAsia="宋体" w:cs="宋体"/>
          <w:kern w:val="0"/>
          <w:sz w:val="24"/>
          <w:szCs w:val="24"/>
        </w:rPr>
      </w:pPr>
    </w:p>
    <w:p w14:paraId="1D420374">
      <w:pPr>
        <w:spacing w:line="520" w:lineRule="exact"/>
        <w:ind w:firstLine="4320" w:firstLineChars="1800"/>
        <w:rPr>
          <w:rFonts w:hint="eastAsia" w:ascii="宋体" w:hAnsi="宋体" w:eastAsia="宋体" w:cs="宋体"/>
          <w:kern w:val="0"/>
          <w:sz w:val="24"/>
          <w:szCs w:val="24"/>
        </w:rPr>
      </w:pPr>
    </w:p>
    <w:p w14:paraId="73AC044E">
      <w:pPr>
        <w:spacing w:line="520" w:lineRule="exact"/>
        <w:ind w:firstLine="4320" w:firstLineChars="1800"/>
        <w:rPr>
          <w:rFonts w:hint="eastAsia" w:ascii="宋体" w:hAnsi="宋体" w:eastAsia="宋体" w:cs="宋体"/>
          <w:kern w:val="0"/>
          <w:sz w:val="24"/>
          <w:szCs w:val="24"/>
        </w:rPr>
      </w:pPr>
    </w:p>
    <w:p w14:paraId="72EADBB8">
      <w:pPr>
        <w:spacing w:line="520" w:lineRule="exact"/>
        <w:ind w:firstLine="4320" w:firstLineChars="1800"/>
        <w:rPr>
          <w:rFonts w:hint="eastAsia" w:ascii="宋体" w:hAnsi="宋体" w:eastAsia="宋体" w:cs="宋体"/>
          <w:kern w:val="0"/>
          <w:sz w:val="24"/>
          <w:szCs w:val="24"/>
        </w:rPr>
      </w:pPr>
    </w:p>
    <w:p w14:paraId="26711DF1">
      <w:pPr>
        <w:spacing w:line="520" w:lineRule="exact"/>
        <w:ind w:firstLine="5880" w:firstLineChars="2450"/>
        <w:rPr>
          <w:rFonts w:hint="eastAsia" w:ascii="宋体" w:hAnsi="宋体" w:eastAsia="宋体" w:cs="宋体"/>
          <w:kern w:val="0"/>
          <w:sz w:val="24"/>
          <w:szCs w:val="24"/>
        </w:rPr>
      </w:pPr>
      <w:r>
        <w:rPr>
          <w:rFonts w:hint="eastAsia" w:ascii="宋体" w:hAnsi="宋体" w:eastAsia="宋体" w:cs="宋体"/>
          <w:kern w:val="0"/>
          <w:sz w:val="24"/>
          <w:szCs w:val="24"/>
        </w:rPr>
        <w:t>浙江新化化工股份有限公司</w:t>
      </w:r>
    </w:p>
    <w:p w14:paraId="5D4E0362">
      <w:pPr>
        <w:spacing w:line="400" w:lineRule="exact"/>
        <w:rPr>
          <w:rFonts w:hint="eastAsia" w:ascii="宋体" w:hAnsi="宋体" w:eastAsia="宋体" w:cs="宋体"/>
          <w:kern w:val="0"/>
          <w:sz w:val="24"/>
          <w:szCs w:val="24"/>
        </w:rPr>
      </w:pPr>
    </w:p>
    <w:p w14:paraId="366A3889">
      <w:pPr>
        <w:spacing w:line="400" w:lineRule="exact"/>
        <w:rPr>
          <w:rFonts w:hint="eastAsia" w:ascii="宋体" w:hAnsi="宋体" w:eastAsia="宋体" w:cs="宋体"/>
          <w:kern w:val="0"/>
          <w:sz w:val="24"/>
          <w:szCs w:val="24"/>
        </w:rPr>
      </w:pPr>
    </w:p>
    <w:p w14:paraId="1967A662">
      <w:pPr>
        <w:spacing w:line="400" w:lineRule="exact"/>
        <w:rPr>
          <w:rFonts w:hint="eastAsia" w:ascii="宋体" w:hAnsi="宋体" w:eastAsia="宋体" w:cs="宋体"/>
          <w:kern w:val="0"/>
          <w:sz w:val="24"/>
          <w:szCs w:val="24"/>
        </w:rPr>
      </w:pPr>
    </w:p>
    <w:p w14:paraId="1E31B4A2">
      <w:pPr>
        <w:spacing w:line="400" w:lineRule="exact"/>
        <w:rPr>
          <w:rFonts w:hint="eastAsia" w:ascii="宋体" w:hAnsi="宋体" w:eastAsia="宋体" w:cs="宋体"/>
          <w:kern w:val="0"/>
          <w:sz w:val="24"/>
          <w:szCs w:val="24"/>
        </w:rPr>
      </w:pPr>
    </w:p>
    <w:p w14:paraId="5B1CD240">
      <w:pPr>
        <w:spacing w:line="400" w:lineRule="exact"/>
        <w:rPr>
          <w:rFonts w:hint="eastAsia" w:ascii="宋体" w:hAnsi="宋体" w:eastAsia="宋体" w:cs="宋体"/>
          <w:kern w:val="0"/>
          <w:sz w:val="24"/>
          <w:szCs w:val="24"/>
        </w:rPr>
      </w:pPr>
    </w:p>
    <w:p w14:paraId="0C1B87BA">
      <w:pPr>
        <w:spacing w:line="400" w:lineRule="exact"/>
        <w:rPr>
          <w:rFonts w:hint="eastAsia" w:ascii="宋体" w:hAnsi="宋体" w:eastAsia="宋体" w:cs="宋体"/>
          <w:kern w:val="0"/>
          <w:sz w:val="24"/>
          <w:szCs w:val="24"/>
        </w:rPr>
      </w:pPr>
    </w:p>
    <w:p w14:paraId="6BC3D565">
      <w:pPr>
        <w:spacing w:line="400" w:lineRule="exact"/>
        <w:rPr>
          <w:rFonts w:hint="eastAsia" w:ascii="宋体" w:hAnsi="宋体" w:eastAsia="宋体" w:cs="宋体"/>
          <w:kern w:val="0"/>
          <w:sz w:val="24"/>
          <w:szCs w:val="24"/>
        </w:rPr>
      </w:pPr>
    </w:p>
    <w:p w14:paraId="76AFD159">
      <w:pPr>
        <w:spacing w:line="400" w:lineRule="exact"/>
        <w:rPr>
          <w:rFonts w:hint="eastAsia" w:ascii="宋体" w:hAnsi="宋体" w:eastAsia="宋体" w:cs="宋体"/>
          <w:kern w:val="0"/>
          <w:sz w:val="24"/>
          <w:szCs w:val="24"/>
        </w:rPr>
      </w:pPr>
    </w:p>
    <w:p w14:paraId="30FE5317">
      <w:pPr>
        <w:spacing w:line="400" w:lineRule="exact"/>
        <w:rPr>
          <w:rFonts w:hint="eastAsia" w:ascii="宋体" w:hAnsi="宋体" w:eastAsia="宋体" w:cs="宋体"/>
          <w:kern w:val="0"/>
          <w:sz w:val="24"/>
          <w:szCs w:val="24"/>
        </w:rPr>
      </w:pPr>
    </w:p>
    <w:p w14:paraId="1403F1D8">
      <w:pPr>
        <w:spacing w:line="400" w:lineRule="exact"/>
        <w:rPr>
          <w:rFonts w:hint="eastAsia" w:ascii="宋体" w:hAnsi="宋体" w:eastAsia="宋体" w:cs="宋体"/>
          <w:kern w:val="0"/>
          <w:sz w:val="24"/>
          <w:szCs w:val="24"/>
        </w:rPr>
      </w:pPr>
    </w:p>
    <w:p w14:paraId="0716B721">
      <w:pPr>
        <w:spacing w:line="400" w:lineRule="exact"/>
        <w:rPr>
          <w:rFonts w:hint="eastAsia" w:ascii="宋体" w:hAnsi="宋体" w:eastAsia="宋体" w:cs="宋体"/>
          <w:kern w:val="0"/>
          <w:sz w:val="24"/>
          <w:szCs w:val="24"/>
        </w:rPr>
      </w:pPr>
    </w:p>
    <w:p w14:paraId="5D77E017">
      <w:pPr>
        <w:spacing w:line="400" w:lineRule="exact"/>
        <w:rPr>
          <w:rFonts w:hint="eastAsia" w:ascii="宋体" w:hAnsi="宋体" w:eastAsia="宋体" w:cs="宋体"/>
          <w:kern w:val="0"/>
          <w:sz w:val="24"/>
          <w:szCs w:val="24"/>
        </w:rPr>
      </w:pPr>
    </w:p>
    <w:p w14:paraId="630537FB">
      <w:pPr>
        <w:spacing w:line="400" w:lineRule="exact"/>
        <w:rPr>
          <w:rFonts w:hint="eastAsia" w:ascii="宋体" w:hAnsi="宋体" w:eastAsia="宋体" w:cs="宋体"/>
          <w:kern w:val="0"/>
          <w:sz w:val="24"/>
          <w:szCs w:val="24"/>
        </w:rPr>
      </w:pPr>
    </w:p>
    <w:p w14:paraId="03250381">
      <w:pPr>
        <w:spacing w:line="400" w:lineRule="exact"/>
        <w:rPr>
          <w:rFonts w:hint="eastAsia" w:ascii="宋体" w:hAnsi="宋体" w:eastAsia="宋体" w:cs="宋体"/>
          <w:kern w:val="0"/>
          <w:sz w:val="24"/>
          <w:szCs w:val="24"/>
        </w:rPr>
      </w:pPr>
    </w:p>
    <w:p w14:paraId="7CD48B1B">
      <w:pPr>
        <w:spacing w:line="400" w:lineRule="exact"/>
        <w:rPr>
          <w:rFonts w:hint="eastAsia" w:ascii="宋体" w:hAnsi="宋体" w:eastAsia="宋体" w:cs="宋体"/>
          <w:kern w:val="0"/>
          <w:sz w:val="24"/>
          <w:szCs w:val="24"/>
        </w:rPr>
      </w:pPr>
    </w:p>
    <w:p w14:paraId="5DAD9251">
      <w:pPr>
        <w:spacing w:line="400" w:lineRule="exact"/>
        <w:rPr>
          <w:rFonts w:hint="eastAsia" w:ascii="宋体" w:hAnsi="宋体" w:eastAsia="宋体" w:cs="宋体"/>
          <w:kern w:val="0"/>
          <w:sz w:val="24"/>
          <w:szCs w:val="24"/>
        </w:rPr>
      </w:pPr>
    </w:p>
    <w:p w14:paraId="0054531B">
      <w:pPr>
        <w:spacing w:line="400" w:lineRule="exact"/>
        <w:rPr>
          <w:rFonts w:hint="eastAsia" w:ascii="宋体" w:hAnsi="宋体" w:eastAsia="宋体" w:cs="宋体"/>
          <w:kern w:val="0"/>
          <w:sz w:val="24"/>
          <w:szCs w:val="24"/>
        </w:rPr>
      </w:pPr>
    </w:p>
    <w:p w14:paraId="30E95662">
      <w:pPr>
        <w:spacing w:line="400" w:lineRule="exact"/>
        <w:ind w:firstLine="1662" w:firstLineChars="690"/>
        <w:rPr>
          <w:rFonts w:hint="eastAsia" w:ascii="宋体" w:hAnsi="宋体" w:eastAsia="宋体" w:cs="宋体"/>
          <w:b/>
          <w:sz w:val="24"/>
          <w:szCs w:val="24"/>
        </w:rPr>
      </w:pPr>
    </w:p>
    <w:p w14:paraId="267562E7">
      <w:pPr>
        <w:ind w:firstLine="2650" w:firstLineChars="1100"/>
        <w:jc w:val="both"/>
        <w:rPr>
          <w:rFonts w:hint="eastAsia" w:ascii="宋体" w:hAnsi="宋体" w:eastAsia="宋体" w:cs="宋体"/>
          <w:b/>
          <w:sz w:val="24"/>
          <w:szCs w:val="24"/>
        </w:rPr>
      </w:pPr>
    </w:p>
    <w:p w14:paraId="072EC951">
      <w:pPr>
        <w:ind w:firstLine="3840" w:firstLineChars="1600"/>
        <w:jc w:val="both"/>
        <w:rPr>
          <w:rFonts w:hint="eastAsia" w:ascii="黑体" w:hAnsi="黑体" w:eastAsia="黑体" w:cs="黑体"/>
          <w:b w:val="0"/>
          <w:bCs/>
          <w:sz w:val="24"/>
          <w:szCs w:val="24"/>
        </w:rPr>
      </w:pPr>
      <w:r>
        <w:rPr>
          <w:rFonts w:hint="eastAsia" w:ascii="黑体" w:hAnsi="黑体" w:eastAsia="黑体" w:cs="黑体"/>
          <w:b w:val="0"/>
          <w:bCs/>
          <w:sz w:val="24"/>
          <w:szCs w:val="24"/>
        </w:rPr>
        <w:t>社会责任报告</w:t>
      </w:r>
    </w:p>
    <w:p w14:paraId="6194E170">
      <w:pPr>
        <w:spacing w:line="520" w:lineRule="exact"/>
        <w:ind w:firstLine="480" w:firstLineChars="200"/>
        <w:rPr>
          <w:rFonts w:hint="eastAsia" w:ascii="宋体" w:hAnsi="宋体" w:eastAsia="宋体" w:cs="宋体"/>
          <w:sz w:val="24"/>
          <w:szCs w:val="24"/>
        </w:rPr>
      </w:pPr>
    </w:p>
    <w:p w14:paraId="3AD74594">
      <w:pPr>
        <w:spacing w:line="44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公司在注重企业运营的同时，公司尽可能兼顾各相关方的不同需求，将保护他们的权益视为自身责任，并付诸于实际行动之中。作为国内生产低碳脂肪胺的龙头企业，公司切实履行了企业社会责任，从组织治理、人权、劳工实践、环境、公平运行实践、消费者问题和社区参与和发展七方面，审视社会责任和企业长远发展的关系，把社会责任转化为企业发展的动力和长期利益。</w:t>
      </w:r>
    </w:p>
    <w:p w14:paraId="10550A09">
      <w:pPr>
        <w:widowControl/>
        <w:snapToGrid w:val="0"/>
        <w:spacing w:line="440" w:lineRule="exact"/>
        <w:jc w:val="left"/>
        <w:outlineLvl w:val="1"/>
        <w:rPr>
          <w:rFonts w:hint="eastAsia" w:ascii="黑体" w:hAnsi="黑体" w:eastAsia="黑体" w:cs="黑体"/>
          <w:b w:val="0"/>
          <w:bCs w:val="0"/>
          <w:sz w:val="24"/>
          <w:szCs w:val="24"/>
        </w:rPr>
      </w:pPr>
      <w:bookmarkStart w:id="0" w:name="_Toc360653451"/>
      <w:r>
        <w:rPr>
          <w:rFonts w:hint="eastAsia" w:ascii="黑体" w:hAnsi="黑体" w:eastAsia="黑体" w:cs="黑体"/>
          <w:b w:val="0"/>
          <w:bCs w:val="0"/>
          <w:sz w:val="24"/>
          <w:szCs w:val="24"/>
        </w:rPr>
        <w:t>1 组织的治理</w:t>
      </w:r>
      <w:bookmarkEnd w:id="0"/>
    </w:p>
    <w:p w14:paraId="73629BFD">
      <w:pPr>
        <w:widowControl/>
        <w:snapToGrid w:val="0"/>
        <w:spacing w:line="440" w:lineRule="exact"/>
        <w:ind w:firstLine="470"/>
        <w:jc w:val="left"/>
        <w:outlineLvl w:val="1"/>
        <w:rPr>
          <w:rFonts w:hint="eastAsia" w:ascii="宋体" w:hAnsi="宋体" w:eastAsia="宋体" w:cs="宋体"/>
          <w:b/>
          <w:bCs/>
          <w:sz w:val="24"/>
          <w:szCs w:val="24"/>
        </w:rPr>
      </w:pPr>
      <w:r>
        <w:rPr>
          <w:rFonts w:hint="eastAsia" w:ascii="宋体" w:hAnsi="宋体" w:eastAsia="宋体" w:cs="宋体"/>
          <w:bCs/>
          <w:sz w:val="24"/>
          <w:szCs w:val="24"/>
        </w:rPr>
        <w:t>1.1组织治理的关键因素</w:t>
      </w:r>
    </w:p>
    <w:p w14:paraId="2726100A">
      <w:pPr>
        <w:widowControl/>
        <w:snapToGrid w:val="0"/>
        <w:spacing w:line="440" w:lineRule="exact"/>
        <w:ind w:firstLine="470"/>
        <w:jc w:val="left"/>
        <w:outlineLvl w:val="1"/>
        <w:rPr>
          <w:rFonts w:hint="eastAsia" w:ascii="宋体" w:hAnsi="宋体" w:eastAsia="宋体" w:cs="宋体"/>
          <w:bCs/>
          <w:sz w:val="24"/>
          <w:szCs w:val="24"/>
        </w:rPr>
      </w:pPr>
      <w:r>
        <w:rPr>
          <w:rFonts w:hint="eastAsia" w:ascii="宋体" w:hAnsi="宋体" w:eastAsia="宋体" w:cs="宋体"/>
          <w:bCs/>
          <w:sz w:val="24"/>
          <w:szCs w:val="24"/>
        </w:rPr>
        <w:t>1.1.1完善治理结构和落实管理责任</w:t>
      </w:r>
    </w:p>
    <w:p w14:paraId="734FA039">
      <w:pPr>
        <w:autoSpaceDE w:val="0"/>
        <w:autoSpaceDN w:val="0"/>
        <w:adjustRightInd w:val="0"/>
        <w:spacing w:line="440" w:lineRule="exact"/>
        <w:ind w:firstLine="470" w:firstLineChars="196"/>
        <w:jc w:val="left"/>
        <w:rPr>
          <w:rFonts w:hint="eastAsia" w:ascii="宋体" w:hAnsi="宋体" w:eastAsia="宋体" w:cs="宋体"/>
          <w:b/>
          <w:kern w:val="0"/>
          <w:sz w:val="24"/>
          <w:szCs w:val="24"/>
        </w:rPr>
      </w:pPr>
      <w:r>
        <w:rPr>
          <w:rFonts w:hint="eastAsia" w:ascii="宋体" w:hAnsi="宋体" w:eastAsia="宋体" w:cs="宋体"/>
          <w:sz w:val="24"/>
          <w:szCs w:val="24"/>
        </w:rPr>
        <w:t>按照《公司法》和公司章程，建立了科学规范的公司治理结构，设立了股东会、董事会和监事会，强化了董事会决策能力。科学合理构建组织结</w:t>
      </w:r>
      <w:r>
        <w:rPr>
          <w:rFonts w:hint="eastAsia" w:ascii="宋体" w:hAnsi="宋体" w:eastAsia="宋体" w:cs="宋体"/>
          <w:kern w:val="0"/>
          <w:sz w:val="24"/>
          <w:szCs w:val="24"/>
        </w:rPr>
        <w:t>构，高层领导的职权行使、重大投资、财务收支和经济活动等组织行为均纳入监管范围，上受董事会、股东会和监事会的监督考评，下受来自员工的监督，并负有经营、道德、法律方面的责任。</w:t>
      </w:r>
    </w:p>
    <w:p w14:paraId="1E21A3A8">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明确经营责任</w:t>
      </w:r>
    </w:p>
    <w:p w14:paraId="72C24E42">
      <w:pPr>
        <w:spacing w:line="4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公司实行经营责任制，董事会年初给公司经营层下达经营指标，要求公司领导每半年向董事会汇报公司的经营情况，包括生产、营销、资产运行、税务、利润等有关情况，每年对经营者进行一次考核。高层领导又把经营责任层层分解给下属部门，并签订经营责任书和生产安全责任书，每年进行业绩考核。如资产经营责任方面：把“保障所有权、落实经营权”作为实施资产经营责任制的出发点，并把这种思想贯穿到资产经营责任制实施办法的全过程。</w:t>
      </w:r>
    </w:p>
    <w:p w14:paraId="5D24F6D1">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道德责任</w:t>
      </w:r>
    </w:p>
    <w:p w14:paraId="3704F1C4">
      <w:pPr>
        <w:adjustRightInd w:val="0"/>
        <w:snapToGrid w:val="0"/>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公司恪守法律法规的要求，严格按照法律法规的要求办事，依法承担相应的责任。公司收集了法律法规，建立了技术标准、工作标准和管理标准，并形成企业标准体系等。公司重视组织行为和个人行为的道德责任，保护消费者，社会的权益及自然环境。</w:t>
      </w:r>
    </w:p>
    <w:p w14:paraId="77BD96E4">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法律责任</w:t>
      </w:r>
    </w:p>
    <w:p w14:paraId="1640AF7C">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经营班子及成员对其经营行为必须承担法律责任，确保公司经营活动不得违反国家有关法律法规，规范组织的经营行为。</w:t>
      </w:r>
    </w:p>
    <w:p w14:paraId="1722DB37">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1.1.2 落实财务责任</w:t>
      </w:r>
    </w:p>
    <w:p w14:paraId="04A9974C">
      <w:pPr>
        <w:autoSpaceDE w:val="0"/>
        <w:autoSpaceDN w:val="0"/>
        <w:adjustRightInd w:val="0"/>
        <w:spacing w:line="440" w:lineRule="exact"/>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 完善财务制度</w:t>
      </w:r>
    </w:p>
    <w:p w14:paraId="0DB86669">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依据《会计准则》建立健全了包括资金管理规范、投资管理规范、资产管理规范、税务管理规范、成本费用管理规范、收入盈余管理规范、预算管理规范、财务报告管理规范在内的一系列财务管理制度，使财务规范管理。</w:t>
      </w:r>
    </w:p>
    <w:p w14:paraId="67246D8C">
      <w:pPr>
        <w:autoSpaceDE w:val="0"/>
        <w:autoSpaceDN w:val="0"/>
        <w:adjustRightInd w:val="0"/>
        <w:spacing w:line="44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kern w:val="0"/>
          <w:sz w:val="24"/>
          <w:szCs w:val="24"/>
        </w:rPr>
        <w:t>明确财务责任和权限</w:t>
      </w:r>
    </w:p>
    <w:p w14:paraId="4FA41C6B">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《公司章程》和相关财务管理制度对董事会、经理层的财务责任作了明确的规定。特别是对外投资和对外担保的数额和程序作了明确的规定，超过授权限额的重大投资要经股东会批准。</w:t>
      </w:r>
    </w:p>
    <w:p w14:paraId="33B4A0C9">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完善财务内部监管机制</w:t>
      </w:r>
    </w:p>
    <w:p w14:paraId="38775ED7">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根据《公司章程》和相关财务管理制度，监事会对董事会及经理层的财务管理行为实施监督，以规避公司财务风险。</w:t>
      </w:r>
    </w:p>
    <w:p w14:paraId="2A55BFF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经营管理的透明性和信息披露</w:t>
      </w:r>
    </w:p>
    <w:p w14:paraId="0D8AC77B">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sz w:val="24"/>
          <w:szCs w:val="24"/>
        </w:rPr>
        <w:t>公司制定了一系列的制度，对经营管理的透明度做了规定，同时也制定了信息批露的一系列规范和要求。比如，通过详细的年度报告、半年度报告等向公众发布公司的相关经营信息。</w:t>
      </w:r>
    </w:p>
    <w:p w14:paraId="66717868">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1.1.4 确保内部审计和外部审计的独立性</w:t>
      </w:r>
    </w:p>
    <w:p w14:paraId="264F3CAD">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公司制订了《内部审计管理制度》，独立监督和评价公司财务收支、经济活动的真实性、合法性、效益性，并直接向董事会和监事会汇报，以保证内审的独立性和有效性。</w:t>
      </w:r>
    </w:p>
    <w:p w14:paraId="568B4A38">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另外，公司聘请与公司及股东无直接经济利益关系的会计师事务所负责外部审计，确保了经营绩效的真实性、合法性和权威性，每年都出具无保留审计意见。</w:t>
      </w:r>
    </w:p>
    <w:p w14:paraId="1397B183">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1.1.5 保护股东和其他相关方的利益</w:t>
      </w:r>
    </w:p>
    <w:p w14:paraId="38050374">
      <w:pPr>
        <w:autoSpaceDE w:val="0"/>
        <w:autoSpaceDN w:val="0"/>
        <w:adjustRightInd w:val="0"/>
        <w:spacing w:line="440" w:lineRule="exact"/>
        <w:ind w:left="420"/>
        <w:jc w:val="left"/>
        <w:rPr>
          <w:rFonts w:hint="eastAsia" w:ascii="宋体" w:hAnsi="宋体" w:eastAsia="宋体" w:cs="宋体"/>
          <w:kern w:val="0"/>
          <w:sz w:val="24"/>
          <w:szCs w:val="24"/>
        </w:rPr>
      </w:pPr>
      <w:r>
        <w:rPr>
          <w:rFonts w:hint="eastAsia" w:ascii="宋体" w:hAnsi="宋体" w:eastAsia="宋体" w:cs="宋体"/>
          <w:kern w:val="0"/>
          <w:sz w:val="24"/>
          <w:szCs w:val="24"/>
        </w:rPr>
        <w:t>◆ 股东利益的保护</w:t>
      </w:r>
    </w:p>
    <w:p w14:paraId="37CE83AE">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公司每年召开股东会议，通报年度财务管理情况；通过会计委派督查制度，定期检查公司会计政策、财务状况和财务报告程序；与外部审计机构进行沟通，对公司的内部控制进行监督，预测公司存在或潜在的各种风险；发挥监事会作用，定期对公司财务行为进行监督；对大宗物资采购实行公开招投标制度。</w:t>
      </w:r>
    </w:p>
    <w:p w14:paraId="2C86285D">
      <w:pPr>
        <w:autoSpaceDE w:val="0"/>
        <w:autoSpaceDN w:val="0"/>
        <w:adjustRightInd w:val="0"/>
        <w:spacing w:line="440" w:lineRule="exact"/>
        <w:ind w:left="420"/>
        <w:jc w:val="left"/>
        <w:rPr>
          <w:rFonts w:hint="eastAsia" w:ascii="宋体" w:hAnsi="宋体" w:eastAsia="宋体" w:cs="宋体"/>
          <w:kern w:val="0"/>
          <w:sz w:val="24"/>
          <w:szCs w:val="24"/>
        </w:rPr>
      </w:pPr>
      <w:r>
        <w:rPr>
          <w:rFonts w:hint="eastAsia" w:ascii="宋体" w:hAnsi="宋体" w:eastAsia="宋体" w:cs="宋体"/>
          <w:kern w:val="0"/>
          <w:sz w:val="24"/>
          <w:szCs w:val="24"/>
        </w:rPr>
        <w:t>◆ 员工利益的保护</w:t>
      </w:r>
    </w:p>
    <w:p w14:paraId="5220C36F">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建立职工代表大会制度，凡涉及员工切身利益的方案议案都必须经过员工会议讨论。严格按照国家劳动法有关规定制订和履行劳动合同；实行收入分配公开制度，对各单位的绩效薪酬分配过程和结果公开。</w:t>
      </w:r>
    </w:p>
    <w:p w14:paraId="63DF4DFD">
      <w:pPr>
        <w:autoSpaceDE w:val="0"/>
        <w:autoSpaceDN w:val="0"/>
        <w:adjustRightInd w:val="0"/>
        <w:spacing w:line="440" w:lineRule="exact"/>
        <w:ind w:left="420"/>
        <w:jc w:val="left"/>
        <w:rPr>
          <w:rFonts w:hint="eastAsia" w:ascii="宋体" w:hAnsi="宋体" w:eastAsia="宋体" w:cs="宋体"/>
          <w:kern w:val="0"/>
          <w:sz w:val="24"/>
          <w:szCs w:val="24"/>
        </w:rPr>
      </w:pPr>
      <w:r>
        <w:rPr>
          <w:rFonts w:hint="eastAsia" w:ascii="宋体" w:hAnsi="宋体" w:eastAsia="宋体" w:cs="宋体"/>
          <w:kern w:val="0"/>
          <w:sz w:val="24"/>
          <w:szCs w:val="24"/>
        </w:rPr>
        <w:t>◆ 供应商利益的保护</w:t>
      </w:r>
    </w:p>
    <w:p w14:paraId="614C6135">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公司保证付款及时、保护供应商知识产权。实行分级管理，分层次提供信息共享、资金支持、订单保障、管理输出等支持。</w:t>
      </w:r>
    </w:p>
    <w:p w14:paraId="53A144F1">
      <w:pPr>
        <w:autoSpaceDE w:val="0"/>
        <w:autoSpaceDN w:val="0"/>
        <w:adjustRightInd w:val="0"/>
        <w:spacing w:line="440" w:lineRule="exact"/>
        <w:ind w:left="420"/>
        <w:jc w:val="left"/>
        <w:rPr>
          <w:rFonts w:hint="eastAsia" w:ascii="宋体" w:hAnsi="宋体" w:eastAsia="宋体" w:cs="宋体"/>
          <w:kern w:val="0"/>
          <w:sz w:val="24"/>
          <w:szCs w:val="24"/>
        </w:rPr>
      </w:pPr>
      <w:r>
        <w:rPr>
          <w:rFonts w:hint="eastAsia" w:ascii="宋体" w:hAnsi="宋体" w:eastAsia="宋体" w:cs="宋体"/>
          <w:kern w:val="0"/>
          <w:sz w:val="24"/>
          <w:szCs w:val="24"/>
        </w:rPr>
        <w:t>◆ 顾客利益的保护</w:t>
      </w:r>
    </w:p>
    <w:p w14:paraId="2183CEA9">
      <w:pPr>
        <w:autoSpaceDE w:val="0"/>
        <w:autoSpaceDN w:val="0"/>
        <w:adjustRightInd w:val="0"/>
        <w:spacing w:line="44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设立顾客服务热线，受理顾客对营销服务和产品质量方面的投诉，保护顾客利益。</w:t>
      </w:r>
    </w:p>
    <w:p w14:paraId="620F2E3B">
      <w:pPr>
        <w:autoSpaceDE w:val="0"/>
        <w:autoSpaceDN w:val="0"/>
        <w:adjustRightInd w:val="0"/>
        <w:spacing w:line="440" w:lineRule="exact"/>
        <w:ind w:left="420"/>
        <w:jc w:val="left"/>
        <w:rPr>
          <w:rFonts w:hint="eastAsia" w:ascii="宋体" w:hAnsi="宋体" w:eastAsia="宋体" w:cs="宋体"/>
          <w:kern w:val="0"/>
          <w:sz w:val="24"/>
          <w:szCs w:val="24"/>
        </w:rPr>
      </w:pPr>
      <w:r>
        <w:rPr>
          <w:rFonts w:hint="eastAsia" w:ascii="宋体" w:hAnsi="宋体" w:eastAsia="宋体" w:cs="宋体"/>
          <w:kern w:val="0"/>
          <w:sz w:val="24"/>
          <w:szCs w:val="24"/>
        </w:rPr>
        <w:t>◆ 其他相关方利益的保护</w:t>
      </w:r>
    </w:p>
    <w:p w14:paraId="59D2755E">
      <w:pPr>
        <w:autoSpaceDE w:val="0"/>
        <w:autoSpaceDN w:val="0"/>
        <w:adjustRightInd w:val="0"/>
        <w:spacing w:line="440" w:lineRule="exact"/>
        <w:ind w:firstLine="420"/>
        <w:jc w:val="left"/>
        <w:rPr>
          <w:rFonts w:hint="eastAsia" w:ascii="宋体" w:hAnsi="宋体" w:eastAsia="宋体" w:cs="宋体"/>
          <w:sz w:val="24"/>
          <w:szCs w:val="24"/>
        </w:rPr>
      </w:pPr>
      <w:r>
        <w:rPr>
          <w:rFonts w:hint="eastAsia" w:ascii="宋体" w:hAnsi="宋体" w:eastAsia="宋体" w:cs="宋体"/>
          <w:kern w:val="0"/>
          <w:sz w:val="24"/>
          <w:szCs w:val="24"/>
        </w:rPr>
        <w:t>在依法纳税、诚信经营的同时，公司积极为社会提供就业机会，承担社会责任，注重环境保护和降低能源消耗。</w:t>
      </w:r>
    </w:p>
    <w:p w14:paraId="2BF7F245">
      <w:pPr>
        <w:widowControl/>
        <w:snapToGrid w:val="0"/>
        <w:spacing w:line="440" w:lineRule="exact"/>
        <w:jc w:val="left"/>
        <w:outlineLvl w:val="1"/>
        <w:rPr>
          <w:rFonts w:hint="eastAsia" w:ascii="黑体" w:hAnsi="黑体" w:eastAsia="黑体" w:cs="黑体"/>
          <w:b w:val="0"/>
          <w:bCs/>
          <w:sz w:val="24"/>
          <w:szCs w:val="24"/>
        </w:rPr>
      </w:pPr>
      <w:r>
        <w:rPr>
          <w:rFonts w:hint="eastAsia" w:ascii="黑体" w:hAnsi="黑体" w:eastAsia="黑体" w:cs="黑体"/>
          <w:b w:val="0"/>
          <w:bCs/>
          <w:sz w:val="24"/>
          <w:szCs w:val="24"/>
        </w:rPr>
        <w:t>2 人权</w:t>
      </w:r>
    </w:p>
    <w:p w14:paraId="248033ED">
      <w:pPr>
        <w:spacing w:line="440" w:lineRule="exact"/>
        <w:outlineLvl w:val="2"/>
        <w:rPr>
          <w:rFonts w:hint="eastAsia" w:ascii="宋体" w:hAnsi="宋体" w:eastAsia="宋体" w:cs="宋体"/>
          <w:sz w:val="24"/>
          <w:szCs w:val="24"/>
        </w:rPr>
      </w:pPr>
      <w:bookmarkStart w:id="1" w:name="_Toc360653453"/>
      <w:r>
        <w:rPr>
          <w:rFonts w:hint="eastAsia" w:ascii="宋体" w:hAnsi="宋体" w:eastAsia="宋体" w:cs="宋体"/>
          <w:sz w:val="24"/>
          <w:szCs w:val="24"/>
        </w:rPr>
        <w:t>2.1 提要</w:t>
      </w:r>
      <w:bookmarkEnd w:id="1"/>
    </w:p>
    <w:p w14:paraId="486E476C">
      <w:pPr>
        <w:spacing w:line="440" w:lineRule="exact"/>
        <w:ind w:firstLine="480" w:firstLineChars="200"/>
        <w:rPr>
          <w:rFonts w:hint="eastAsia" w:ascii="宋体" w:hAnsi="宋体" w:eastAsia="宋体" w:cs="宋体"/>
          <w:spacing w:val="-2"/>
          <w:sz w:val="24"/>
          <w:szCs w:val="24"/>
        </w:rPr>
      </w:pPr>
      <w:r>
        <w:rPr>
          <w:rFonts w:hint="eastAsia" w:ascii="宋体" w:hAnsi="宋体" w:eastAsia="宋体" w:cs="宋体"/>
          <w:sz w:val="24"/>
          <w:szCs w:val="24"/>
        </w:rPr>
        <w:t>人权是人人享有的基本权利，组织应承担起尊重人权的责任，为了尊重人权，公司开展尽职调查，以处理公司或公司相关方的活动导致的实际或潜在的人权影响，公司建立有效的申诉机制以解决有关其决策和活动影响人权的争议。积极履行社会责任是公司义不容辞的责任和义务。在公共责任方面，公司与时俱进，不断创新，把绿色环保、节能降耗、安全生产作为重点进行持续改进，不断优化，取得了一次又一次阶段性的成果；在道德行为方面，与相关方建立良好的关系；在</w:t>
      </w:r>
      <w:r>
        <w:rPr>
          <w:rFonts w:hint="eastAsia" w:ascii="宋体" w:hAnsi="宋体" w:eastAsia="宋体" w:cs="宋体"/>
          <w:spacing w:val="-2"/>
          <w:sz w:val="24"/>
          <w:szCs w:val="24"/>
        </w:rPr>
        <w:t>公益支持方面高层领导</w:t>
      </w:r>
      <w:r>
        <w:rPr>
          <w:rFonts w:hint="eastAsia" w:ascii="宋体" w:hAnsi="宋体" w:eastAsia="宋体" w:cs="宋体"/>
          <w:bCs/>
          <w:spacing w:val="-2"/>
          <w:sz w:val="24"/>
          <w:szCs w:val="24"/>
        </w:rPr>
        <w:t>积极带头，员工热烈响应，</w:t>
      </w:r>
      <w:r>
        <w:rPr>
          <w:rFonts w:hint="eastAsia" w:ascii="宋体" w:hAnsi="宋体" w:eastAsia="宋体" w:cs="宋体"/>
          <w:spacing w:val="-2"/>
          <w:sz w:val="24"/>
          <w:szCs w:val="24"/>
        </w:rPr>
        <w:t>以实际行动积极参与社会各项公益事业。</w:t>
      </w:r>
    </w:p>
    <w:p w14:paraId="58E1020D">
      <w:pPr>
        <w:numPr>
          <w:ilvl w:val="1"/>
          <w:numId w:val="1"/>
        </w:numPr>
        <w:autoSpaceDE w:val="0"/>
        <w:autoSpaceDN w:val="0"/>
        <w:adjustRightInd w:val="0"/>
        <w:spacing w:line="44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公共责任</w:t>
      </w:r>
    </w:p>
    <w:p w14:paraId="5A49D1AF">
      <w:pPr>
        <w:autoSpaceDE w:val="0"/>
        <w:autoSpaceDN w:val="0"/>
        <w:adjustRightInd w:val="0"/>
        <w:spacing w:line="44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公司在质量安全、环保、节能、资源综合利用、公共卫生等方面都严格遵循环保安全标准，通过了ISO9001、ISO14001、GB/T28001体系认证，深化对作业场所、生产过程、设备维护的过程设计，规范生产操作规程。</w:t>
      </w:r>
    </w:p>
    <w:p w14:paraId="03781D56">
      <w:pPr>
        <w:autoSpaceDE w:val="0"/>
        <w:autoSpaceDN w:val="0"/>
        <w:adjustRightInd w:val="0"/>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风险识别与测量控制表</w:t>
      </w:r>
    </w:p>
    <w:tbl>
      <w:tblPr>
        <w:tblStyle w:val="8"/>
        <w:tblpPr w:leftFromText="180" w:rightFromText="180" w:vertAnchor="text" w:horzAnchor="margin" w:tblpY="464"/>
        <w:tblW w:w="9841" w:type="dxa"/>
        <w:tblInd w:w="0" w:type="dxa"/>
        <w:tblLayout w:type="fixed"/>
        <w:tblCellMar>
          <w:top w:w="0" w:type="dxa"/>
          <w:left w:w="108" w:type="dxa"/>
          <w:bottom w:w="0" w:type="dxa"/>
          <w:right w:w="108" w:type="dxa"/>
        </w:tblCellMar>
      </w:tblPr>
      <w:tblGrid>
        <w:gridCol w:w="433"/>
        <w:gridCol w:w="450"/>
        <w:gridCol w:w="1292"/>
        <w:gridCol w:w="1613"/>
        <w:gridCol w:w="1077"/>
        <w:gridCol w:w="966"/>
        <w:gridCol w:w="4010"/>
      </w:tblGrid>
      <w:tr w14:paraId="27E745C7">
        <w:tblPrEx>
          <w:tblCellMar>
            <w:top w:w="0" w:type="dxa"/>
            <w:left w:w="108" w:type="dxa"/>
            <w:bottom w:w="0" w:type="dxa"/>
            <w:right w:w="108" w:type="dxa"/>
          </w:tblCellMar>
        </w:tblPrEx>
        <w:trPr>
          <w:trHeight w:val="64" w:hRule="atLeast"/>
        </w:trPr>
        <w:tc>
          <w:tcPr>
            <w:tcW w:w="883" w:type="dxa"/>
            <w:gridSpan w:val="2"/>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2CC6635B">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控制</w:t>
            </w:r>
          </w:p>
          <w:p w14:paraId="7B9A4D06">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类别</w:t>
            </w:r>
          </w:p>
        </w:tc>
        <w:tc>
          <w:tcPr>
            <w:tcW w:w="1292"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6739559C">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影响指标风险评估</w:t>
            </w:r>
          </w:p>
        </w:tc>
        <w:tc>
          <w:tcPr>
            <w:tcW w:w="1613"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422279BF">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国家/</w:t>
            </w:r>
          </w:p>
          <w:p w14:paraId="125690AC">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行业标准</w:t>
            </w:r>
          </w:p>
        </w:tc>
        <w:tc>
          <w:tcPr>
            <w:tcW w:w="1077"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66001562">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内控</w:t>
            </w:r>
          </w:p>
          <w:p w14:paraId="5570B8A2">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指标</w:t>
            </w:r>
          </w:p>
        </w:tc>
        <w:tc>
          <w:tcPr>
            <w:tcW w:w="966"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1E529EF0">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测量</w:t>
            </w:r>
          </w:p>
          <w:p w14:paraId="64B17F82">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方法</w:t>
            </w:r>
          </w:p>
        </w:tc>
        <w:tc>
          <w:tcPr>
            <w:tcW w:w="4010"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748738C9">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过程控制及方法</w:t>
            </w:r>
          </w:p>
        </w:tc>
      </w:tr>
      <w:tr w14:paraId="4ECA06CB">
        <w:tblPrEx>
          <w:tblCellMar>
            <w:top w:w="0" w:type="dxa"/>
            <w:left w:w="108" w:type="dxa"/>
            <w:bottom w:w="0" w:type="dxa"/>
            <w:right w:w="108" w:type="dxa"/>
          </w:tblCellMar>
        </w:tblPrEx>
        <w:trPr>
          <w:trHeight w:val="90" w:hRule="atLeast"/>
        </w:trPr>
        <w:tc>
          <w:tcPr>
            <w:tcW w:w="433"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C524847">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质量安全</w:t>
            </w:r>
          </w:p>
        </w:tc>
        <w:tc>
          <w:tcPr>
            <w:tcW w:w="450"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4D580C3">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产品</w:t>
            </w:r>
          </w:p>
        </w:tc>
        <w:tc>
          <w:tcPr>
            <w:tcW w:w="1292"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698E6F0">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产品中掺入杂质：损害客户设备、造成客户产品不合格</w:t>
            </w:r>
          </w:p>
        </w:tc>
        <w:tc>
          <w:tcPr>
            <w:tcW w:w="1613" w:type="dxa"/>
            <w:vMerge w:val="restart"/>
            <w:tcBorders>
              <w:top w:val="single" w:color="000000" w:sz="8" w:space="0"/>
              <w:left w:val="single" w:color="000000" w:sz="6" w:space="0"/>
              <w:bottom w:val="nil"/>
              <w:right w:val="single" w:color="000000" w:sz="6" w:space="0"/>
            </w:tcBorders>
            <w:shd w:val="clear" w:color="000000" w:fill="FFFFFF"/>
            <w:noWrap w:val="0"/>
            <w:vAlign w:val="center"/>
          </w:tcPr>
          <w:p w14:paraId="3BA6082B">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《工业用一异丙胺》</w:t>
            </w:r>
          </w:p>
          <w:p w14:paraId="65E30AE1">
            <w:pPr>
              <w:autoSpaceDE w:val="0"/>
              <w:autoSpaceDN w:val="0"/>
              <w:adjustRightInd w:val="0"/>
              <w:spacing w:line="280" w:lineRule="exact"/>
              <w:jc w:val="left"/>
              <w:rPr>
                <w:rFonts w:hint="eastAsia" w:ascii="宋体" w:hAnsi="宋体" w:eastAsia="宋体" w:cs="宋体"/>
                <w:kern w:val="0"/>
                <w:sz w:val="24"/>
                <w:szCs w:val="24"/>
                <w:lang w:val="en-US" w:eastAsia="zh-CN"/>
              </w:rPr>
            </w:pPr>
          </w:p>
          <w:p w14:paraId="521514BF">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《工业用一</w:t>
            </w:r>
            <w:r>
              <w:rPr>
                <w:rFonts w:hint="eastAsia" w:ascii="宋体" w:hAnsi="宋体" w:cs="宋体"/>
                <w:kern w:val="0"/>
                <w:sz w:val="24"/>
                <w:szCs w:val="24"/>
                <w:lang w:val="zh-CN" w:eastAsia="zh-CN"/>
              </w:rPr>
              <w:t>正丁</w:t>
            </w:r>
            <w:r>
              <w:rPr>
                <w:rFonts w:hint="eastAsia" w:ascii="宋体" w:hAnsi="宋体" w:eastAsia="宋体" w:cs="宋体"/>
                <w:kern w:val="0"/>
                <w:sz w:val="24"/>
                <w:szCs w:val="24"/>
                <w:lang w:val="zh-CN"/>
              </w:rPr>
              <w:t>胺》</w:t>
            </w:r>
          </w:p>
          <w:p w14:paraId="3E67BDC7">
            <w:pPr>
              <w:autoSpaceDE w:val="0"/>
              <w:autoSpaceDN w:val="0"/>
              <w:adjustRightInd w:val="0"/>
              <w:spacing w:line="280" w:lineRule="exact"/>
              <w:jc w:val="left"/>
              <w:rPr>
                <w:rFonts w:hint="eastAsia" w:ascii="宋体" w:hAnsi="宋体" w:eastAsia="宋体" w:cs="宋体"/>
                <w:kern w:val="0"/>
                <w:sz w:val="24"/>
                <w:szCs w:val="24"/>
                <w:lang w:val="en-US" w:eastAsia="zh-CN"/>
              </w:rPr>
            </w:pPr>
          </w:p>
          <w:p w14:paraId="3DBEC0D4">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《工业用</w:t>
            </w:r>
            <w:r>
              <w:rPr>
                <w:rFonts w:hint="eastAsia" w:ascii="宋体" w:hAnsi="宋体" w:cs="宋体"/>
                <w:kern w:val="0"/>
                <w:sz w:val="24"/>
                <w:szCs w:val="24"/>
                <w:lang w:val="zh-CN"/>
              </w:rPr>
              <w:t>三乙</w:t>
            </w:r>
            <w:r>
              <w:rPr>
                <w:rFonts w:hint="eastAsia" w:ascii="宋体" w:hAnsi="宋体" w:eastAsia="宋体" w:cs="宋体"/>
                <w:kern w:val="0"/>
                <w:sz w:val="24"/>
                <w:szCs w:val="24"/>
                <w:lang w:val="zh-CN"/>
              </w:rPr>
              <w:t>胺》</w:t>
            </w:r>
          </w:p>
          <w:p w14:paraId="551E6947">
            <w:pPr>
              <w:autoSpaceDE w:val="0"/>
              <w:autoSpaceDN w:val="0"/>
              <w:adjustRightInd w:val="0"/>
              <w:spacing w:line="280" w:lineRule="exact"/>
              <w:jc w:val="left"/>
              <w:rPr>
                <w:rFonts w:hint="eastAsia" w:ascii="宋体" w:hAnsi="宋体" w:eastAsia="宋体" w:cs="宋体"/>
                <w:kern w:val="0"/>
                <w:sz w:val="24"/>
                <w:szCs w:val="24"/>
                <w:lang w:val="en-US" w:eastAsia="zh-CN"/>
              </w:rPr>
            </w:pPr>
          </w:p>
          <w:p w14:paraId="44E32B49">
            <w:pPr>
              <w:autoSpaceDE w:val="0"/>
              <w:autoSpaceDN w:val="0"/>
              <w:adjustRightInd w:val="0"/>
              <w:spacing w:line="280" w:lineRule="exact"/>
              <w:jc w:val="left"/>
              <w:rPr>
                <w:rFonts w:hint="eastAsia" w:ascii="宋体" w:hAnsi="宋体" w:eastAsia="宋体" w:cs="宋体"/>
                <w:kern w:val="0"/>
                <w:sz w:val="24"/>
                <w:szCs w:val="24"/>
                <w:lang w:val="zh-CN"/>
              </w:rPr>
            </w:pPr>
          </w:p>
        </w:tc>
        <w:tc>
          <w:tcPr>
            <w:tcW w:w="1077"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3399F3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质量安全事故发生：0起</w:t>
            </w:r>
          </w:p>
        </w:tc>
        <w:tc>
          <w:tcPr>
            <w:tcW w:w="966" w:type="dxa"/>
            <w:vMerge w:val="restart"/>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C682F5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月度</w:t>
            </w:r>
          </w:p>
          <w:p w14:paraId="04D0528E">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统计</w:t>
            </w:r>
          </w:p>
        </w:tc>
        <w:tc>
          <w:tcPr>
            <w:tcW w:w="4010"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CD1DA56">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加强工艺设备检查</w:t>
            </w:r>
          </w:p>
          <w:p w14:paraId="4D8DDFDB">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完善产品抽样检验</w:t>
            </w:r>
          </w:p>
          <w:p w14:paraId="6ADB5368">
            <w:pPr>
              <w:tabs>
                <w:tab w:val="left" w:pos="125"/>
              </w:tabs>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提供操作培训</w:t>
            </w:r>
          </w:p>
        </w:tc>
      </w:tr>
      <w:tr w14:paraId="0947F8C6">
        <w:tblPrEx>
          <w:tblCellMar>
            <w:top w:w="0" w:type="dxa"/>
            <w:left w:w="108" w:type="dxa"/>
            <w:bottom w:w="0" w:type="dxa"/>
            <w:right w:w="108" w:type="dxa"/>
          </w:tblCellMar>
        </w:tblPrEx>
        <w:trPr>
          <w:trHeight w:val="268"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988B60">
            <w:pPr>
              <w:autoSpaceDE w:val="0"/>
              <w:autoSpaceDN w:val="0"/>
              <w:adjustRightInd w:val="0"/>
              <w:spacing w:line="280" w:lineRule="exact"/>
              <w:jc w:val="center"/>
              <w:rPr>
                <w:rFonts w:hint="eastAsia" w:ascii="宋体" w:hAnsi="宋体" w:eastAsia="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365FE3">
            <w:pPr>
              <w:autoSpaceDE w:val="0"/>
              <w:autoSpaceDN w:val="0"/>
              <w:adjustRightInd w:val="0"/>
              <w:spacing w:line="280" w:lineRule="exact"/>
              <w:jc w:val="center"/>
              <w:rPr>
                <w:rFonts w:hint="eastAsia" w:ascii="宋体" w:hAnsi="宋体" w:eastAsia="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58841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产品包装桶破损：导致人员中毒、火灾、爆炸</w:t>
            </w:r>
          </w:p>
        </w:tc>
        <w:tc>
          <w:tcPr>
            <w:tcW w:w="1613" w:type="dxa"/>
            <w:vMerge w:val="continue"/>
            <w:tcBorders>
              <w:top w:val="nil"/>
              <w:left w:val="single" w:color="000000" w:sz="6" w:space="0"/>
              <w:bottom w:val="single" w:color="000000" w:sz="6" w:space="0"/>
              <w:right w:val="single" w:color="000000" w:sz="6" w:space="0"/>
            </w:tcBorders>
            <w:shd w:val="clear" w:color="000000" w:fill="FFFFFF"/>
            <w:noWrap w:val="0"/>
            <w:vAlign w:val="center"/>
          </w:tcPr>
          <w:p w14:paraId="19BFC5FD">
            <w:pPr>
              <w:autoSpaceDE w:val="0"/>
              <w:autoSpaceDN w:val="0"/>
              <w:adjustRightInd w:val="0"/>
              <w:spacing w:line="280" w:lineRule="exact"/>
              <w:jc w:val="center"/>
              <w:rPr>
                <w:rFonts w:hint="eastAsia" w:ascii="宋体" w:hAnsi="宋体" w:eastAsia="宋体" w:cs="宋体"/>
                <w:kern w:val="0"/>
                <w:sz w:val="24"/>
                <w:szCs w:val="24"/>
                <w:lang w:val="zh-CN"/>
              </w:rPr>
            </w:pPr>
          </w:p>
        </w:tc>
        <w:tc>
          <w:tcPr>
            <w:tcW w:w="107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8932F0">
            <w:pPr>
              <w:autoSpaceDE w:val="0"/>
              <w:autoSpaceDN w:val="0"/>
              <w:adjustRightInd w:val="0"/>
              <w:spacing w:line="280" w:lineRule="exact"/>
              <w:jc w:val="center"/>
              <w:rPr>
                <w:rFonts w:hint="eastAsia" w:ascii="宋体" w:hAnsi="宋体" w:eastAsia="宋体" w:cs="宋体"/>
                <w:kern w:val="0"/>
                <w:sz w:val="24"/>
                <w:szCs w:val="24"/>
                <w:lang w:val="zh-CN"/>
              </w:rPr>
            </w:pP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B505D2">
            <w:pPr>
              <w:autoSpaceDE w:val="0"/>
              <w:autoSpaceDN w:val="0"/>
              <w:adjustRightInd w:val="0"/>
              <w:spacing w:line="280" w:lineRule="exact"/>
              <w:jc w:val="center"/>
              <w:rPr>
                <w:rFonts w:hint="eastAsia" w:ascii="宋体" w:hAnsi="宋体" w:eastAsia="宋体" w:cs="宋体"/>
                <w:kern w:val="0"/>
                <w:sz w:val="24"/>
                <w:szCs w:val="24"/>
                <w:lang w:val="zh-CN"/>
              </w:rPr>
            </w:pP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325E86">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加强原辅材料的验收</w:t>
            </w:r>
          </w:p>
          <w:p w14:paraId="68AF91AF">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加强产品外观检查</w:t>
            </w:r>
          </w:p>
        </w:tc>
      </w:tr>
      <w:tr w14:paraId="1B764788">
        <w:tblPrEx>
          <w:tblCellMar>
            <w:top w:w="0" w:type="dxa"/>
            <w:left w:w="108" w:type="dxa"/>
            <w:bottom w:w="0" w:type="dxa"/>
            <w:right w:w="108" w:type="dxa"/>
          </w:tblCellMar>
        </w:tblPrEx>
        <w:trPr>
          <w:trHeight w:val="435" w:hRule="atLeast"/>
        </w:trPr>
        <w:tc>
          <w:tcPr>
            <w:tcW w:w="43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E19026">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生产安全</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1A972D">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运营</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A81096">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火灾爆炸：导致财产损失及人员伤亡 </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0DA47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《安全生产法》、《消防法》、</w:t>
            </w:r>
          </w:p>
          <w:p w14:paraId="73EE39ED">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《危险化学品管理条例》、《浙江省安全生产管理条例》</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D25FC3">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无人员伤亡的火灾、爆炸事故发生</w:t>
            </w:r>
          </w:p>
        </w:tc>
        <w:tc>
          <w:tcPr>
            <w:tcW w:w="96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E2AC4A">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月度</w:t>
            </w:r>
          </w:p>
          <w:p w14:paraId="6A148759">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统计</w:t>
            </w: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7E27EC">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全体员工每年进行安全教育</w:t>
            </w:r>
          </w:p>
          <w:p w14:paraId="674EEE15">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配备固定式及便携式可燃气体检测</w:t>
            </w:r>
          </w:p>
          <w:p w14:paraId="59D5FD3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每月开展安全检查</w:t>
            </w:r>
          </w:p>
          <w:p w14:paraId="4C957D70">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制定相关管理制度、事故应急预案并每年演练</w:t>
            </w:r>
          </w:p>
          <w:p w14:paraId="3874ABBD">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仪表自动化控制，设置联锁装置及一键停车系统</w:t>
            </w:r>
          </w:p>
          <w:p w14:paraId="36866F7A">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特殊作业实行作业证许可制度</w:t>
            </w:r>
          </w:p>
        </w:tc>
      </w:tr>
      <w:tr w14:paraId="72464382">
        <w:tblPrEx>
          <w:tblCellMar>
            <w:top w:w="0" w:type="dxa"/>
            <w:left w:w="108" w:type="dxa"/>
            <w:bottom w:w="0" w:type="dxa"/>
            <w:right w:w="108" w:type="dxa"/>
          </w:tblCellMar>
        </w:tblPrEx>
        <w:trPr>
          <w:trHeight w:val="271"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540A5F">
            <w:pPr>
              <w:autoSpaceDE w:val="0"/>
              <w:autoSpaceDN w:val="0"/>
              <w:adjustRightInd w:val="0"/>
              <w:spacing w:line="280" w:lineRule="exact"/>
              <w:jc w:val="center"/>
              <w:rPr>
                <w:rFonts w:hint="eastAsia" w:ascii="宋体" w:hAnsi="宋体" w:eastAsia="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BBBFFE">
            <w:pPr>
              <w:autoSpaceDE w:val="0"/>
              <w:autoSpaceDN w:val="0"/>
              <w:adjustRightInd w:val="0"/>
              <w:spacing w:line="280" w:lineRule="exact"/>
              <w:jc w:val="center"/>
              <w:rPr>
                <w:rFonts w:hint="eastAsia" w:ascii="宋体" w:hAnsi="宋体" w:eastAsia="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90027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中毒窒息：导致人员伤亡</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48C9FD">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《职业病防治法》、《危险化学品管理条例》《危险化学品名录》</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B6A910">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无人员重伤发生，轻伤率&lt;0.2%</w:t>
            </w: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E0FB7B">
            <w:pPr>
              <w:autoSpaceDE w:val="0"/>
              <w:autoSpaceDN w:val="0"/>
              <w:adjustRightInd w:val="0"/>
              <w:spacing w:line="280" w:lineRule="exact"/>
              <w:jc w:val="center"/>
              <w:rPr>
                <w:rFonts w:hint="eastAsia" w:ascii="宋体" w:hAnsi="宋体" w:eastAsia="宋体" w:cs="宋体"/>
                <w:kern w:val="0"/>
                <w:sz w:val="24"/>
                <w:szCs w:val="24"/>
                <w:lang w:val="zh-CN"/>
              </w:rPr>
            </w:pP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D0C054">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配备空气呼吸器、防化服等各种应急器材。</w:t>
            </w:r>
          </w:p>
          <w:p w14:paraId="1B0F28DB">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仪表自动化控制，设置联锁装置及紧急切断阀。</w:t>
            </w:r>
          </w:p>
          <w:p w14:paraId="3290A51A">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开展安全检查</w:t>
            </w:r>
          </w:p>
          <w:p w14:paraId="11B9E979">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配备固定式及便携式可燃、有毒气体检测仪；配备测氧仪。</w:t>
            </w:r>
          </w:p>
          <w:p w14:paraId="59132F0D">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现场视频监控</w:t>
            </w:r>
          </w:p>
          <w:p w14:paraId="1E8A5F8B">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事故应急预案演练</w:t>
            </w:r>
          </w:p>
        </w:tc>
      </w:tr>
      <w:tr w14:paraId="39CE21D5">
        <w:tblPrEx>
          <w:tblCellMar>
            <w:top w:w="0" w:type="dxa"/>
            <w:left w:w="108" w:type="dxa"/>
            <w:bottom w:w="0" w:type="dxa"/>
            <w:right w:w="108" w:type="dxa"/>
          </w:tblCellMar>
        </w:tblPrEx>
        <w:trPr>
          <w:trHeight w:val="528" w:hRule="atLeast"/>
        </w:trPr>
        <w:tc>
          <w:tcPr>
            <w:tcW w:w="43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55D5A5">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环保</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D642A6">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运营</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7D213A">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三废：导致环境污染</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6DA170">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《大气污染物综合排放标准》、《污水综合排放标准》</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F12DC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排放达标</w:t>
            </w:r>
          </w:p>
        </w:tc>
        <w:tc>
          <w:tcPr>
            <w:tcW w:w="96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17AAF2">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公司外部检测、环境部门检测</w:t>
            </w:r>
          </w:p>
        </w:tc>
        <w:tc>
          <w:tcPr>
            <w:tcW w:w="401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9FD3997">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生产现场合理选址，远离社区</w:t>
            </w:r>
          </w:p>
          <w:p w14:paraId="6C170188">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工艺改善降低噪音</w:t>
            </w:r>
          </w:p>
          <w:p w14:paraId="1461C52B">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废弃物分类管理，妥善处置</w:t>
            </w:r>
          </w:p>
        </w:tc>
      </w:tr>
      <w:tr w14:paraId="5398C7C5">
        <w:tblPrEx>
          <w:tblCellMar>
            <w:top w:w="0" w:type="dxa"/>
            <w:left w:w="108" w:type="dxa"/>
            <w:bottom w:w="0" w:type="dxa"/>
            <w:right w:w="108" w:type="dxa"/>
          </w:tblCellMar>
        </w:tblPrEx>
        <w:trPr>
          <w:trHeight w:val="381"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BA4307">
            <w:pPr>
              <w:autoSpaceDE w:val="0"/>
              <w:autoSpaceDN w:val="0"/>
              <w:adjustRightInd w:val="0"/>
              <w:spacing w:line="280" w:lineRule="exact"/>
              <w:jc w:val="center"/>
              <w:rPr>
                <w:rFonts w:hint="eastAsia" w:ascii="宋体" w:hAnsi="宋体" w:eastAsia="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C102BD">
            <w:pPr>
              <w:autoSpaceDE w:val="0"/>
              <w:autoSpaceDN w:val="0"/>
              <w:adjustRightInd w:val="0"/>
              <w:spacing w:line="280" w:lineRule="exact"/>
              <w:jc w:val="center"/>
              <w:rPr>
                <w:rFonts w:hint="eastAsia" w:ascii="宋体" w:hAnsi="宋体" w:eastAsia="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9143B0">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噪音：导致环境污染</w:t>
            </w:r>
          </w:p>
        </w:tc>
        <w:tc>
          <w:tcPr>
            <w:tcW w:w="1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830AC7">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《工业企业厂界环境噪声排放标准》等</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A64AD2">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3类≤65dB（A）</w:t>
            </w: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D8D597">
            <w:pPr>
              <w:autoSpaceDE w:val="0"/>
              <w:autoSpaceDN w:val="0"/>
              <w:adjustRightInd w:val="0"/>
              <w:spacing w:line="280" w:lineRule="exact"/>
              <w:jc w:val="center"/>
              <w:rPr>
                <w:rFonts w:hint="eastAsia" w:ascii="宋体" w:hAnsi="宋体" w:eastAsia="宋体" w:cs="宋体"/>
                <w:kern w:val="0"/>
                <w:sz w:val="24"/>
                <w:szCs w:val="24"/>
                <w:lang w:val="zh-CN"/>
              </w:rPr>
            </w:pPr>
          </w:p>
        </w:tc>
        <w:tc>
          <w:tcPr>
            <w:tcW w:w="401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6BBF54">
            <w:pPr>
              <w:autoSpaceDE w:val="0"/>
              <w:autoSpaceDN w:val="0"/>
              <w:adjustRightInd w:val="0"/>
              <w:spacing w:line="280" w:lineRule="exact"/>
              <w:jc w:val="center"/>
              <w:rPr>
                <w:rFonts w:hint="eastAsia" w:ascii="宋体" w:hAnsi="宋体" w:eastAsia="宋体" w:cs="宋体"/>
                <w:kern w:val="0"/>
                <w:sz w:val="24"/>
                <w:szCs w:val="24"/>
                <w:lang w:val="zh-CN"/>
              </w:rPr>
            </w:pPr>
          </w:p>
        </w:tc>
      </w:tr>
      <w:tr w14:paraId="4996A8D1">
        <w:tblPrEx>
          <w:tblCellMar>
            <w:top w:w="0" w:type="dxa"/>
            <w:left w:w="108" w:type="dxa"/>
            <w:bottom w:w="0" w:type="dxa"/>
            <w:right w:w="108" w:type="dxa"/>
          </w:tblCellMar>
        </w:tblPrEx>
        <w:trPr>
          <w:trHeight w:val="551" w:hRule="atLeast"/>
        </w:trPr>
        <w:tc>
          <w:tcPr>
            <w:tcW w:w="43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D976B5">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公共卫生</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417FD5">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运营</w:t>
            </w: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1F11C4">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喷漆、电焊弧光：影响人身健康</w:t>
            </w:r>
          </w:p>
        </w:tc>
        <w:tc>
          <w:tcPr>
            <w:tcW w:w="1613"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D24B4">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《职业病防治法》、《工作场所有害因素职业接触限值物理因素》、《工作场所有害因素职业接触限值 化学</w:t>
            </w: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2A70DC">
            <w:pPr>
              <w:autoSpaceDE w:val="0"/>
              <w:autoSpaceDN w:val="0"/>
              <w:adjustRightInd w:val="0"/>
              <w:spacing w:line="28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有害气体、8h辐照度≤0.24 μW/cm</w:t>
            </w:r>
            <w:r>
              <w:rPr>
                <w:rFonts w:hint="eastAsia" w:ascii="宋体" w:hAnsi="宋体" w:eastAsia="宋体" w:cs="宋体"/>
                <w:kern w:val="0"/>
                <w:sz w:val="24"/>
                <w:szCs w:val="24"/>
                <w:vertAlign w:val="superscript"/>
                <w:lang w:val="zh-CN"/>
              </w:rPr>
              <w:t>2</w:t>
            </w:r>
          </w:p>
        </w:tc>
        <w:tc>
          <w:tcPr>
            <w:tcW w:w="96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37BDD1">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仪器监测、年度体检</w:t>
            </w: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7A9977">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喷漆工佩戴防毒面具、口罩、手套、眼镜，加强个人防护。电焊工佩戴墨镜、面罩、电焊手套、绝缘鞋，加强个人防护。</w:t>
            </w:r>
          </w:p>
        </w:tc>
      </w:tr>
      <w:tr w14:paraId="17055F71">
        <w:tblPrEx>
          <w:tblCellMar>
            <w:top w:w="0" w:type="dxa"/>
            <w:left w:w="108" w:type="dxa"/>
            <w:bottom w:w="0" w:type="dxa"/>
            <w:right w:w="108" w:type="dxa"/>
          </w:tblCellMar>
        </w:tblPrEx>
        <w:trPr>
          <w:trHeight w:val="186" w:hRule="atLeast"/>
        </w:trPr>
        <w:tc>
          <w:tcPr>
            <w:tcW w:w="43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44A9ED">
            <w:pPr>
              <w:autoSpaceDE w:val="0"/>
              <w:autoSpaceDN w:val="0"/>
              <w:adjustRightInd w:val="0"/>
              <w:spacing w:line="280" w:lineRule="exact"/>
              <w:jc w:val="center"/>
              <w:rPr>
                <w:rFonts w:hint="eastAsia" w:ascii="宋体" w:hAnsi="宋体" w:eastAsia="宋体" w:cs="宋体"/>
                <w:kern w:val="0"/>
                <w:sz w:val="24"/>
                <w:szCs w:val="24"/>
                <w:lang w:val="zh-CN"/>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61CEEE">
            <w:pPr>
              <w:autoSpaceDE w:val="0"/>
              <w:autoSpaceDN w:val="0"/>
              <w:adjustRightInd w:val="0"/>
              <w:spacing w:line="280" w:lineRule="exact"/>
              <w:jc w:val="center"/>
              <w:rPr>
                <w:rFonts w:hint="eastAsia" w:ascii="宋体" w:hAnsi="宋体" w:eastAsia="宋体" w:cs="宋体"/>
                <w:kern w:val="0"/>
                <w:sz w:val="24"/>
                <w:szCs w:val="24"/>
                <w:lang w:val="zh-CN"/>
              </w:rPr>
            </w:pPr>
          </w:p>
        </w:tc>
        <w:tc>
          <w:tcPr>
            <w:tcW w:w="129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E44236">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噪音：影响人身健康</w:t>
            </w:r>
          </w:p>
        </w:tc>
        <w:tc>
          <w:tcPr>
            <w:tcW w:w="1613"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878F8C">
            <w:pPr>
              <w:autoSpaceDE w:val="0"/>
              <w:autoSpaceDN w:val="0"/>
              <w:adjustRightInd w:val="0"/>
              <w:spacing w:line="280" w:lineRule="exact"/>
              <w:jc w:val="center"/>
              <w:rPr>
                <w:rFonts w:hint="eastAsia" w:ascii="宋体" w:hAnsi="宋体" w:eastAsia="宋体" w:cs="宋体"/>
                <w:kern w:val="0"/>
                <w:sz w:val="24"/>
                <w:szCs w:val="24"/>
                <w:lang w:val="zh-CN"/>
              </w:rPr>
            </w:pPr>
          </w:p>
        </w:tc>
        <w:tc>
          <w:tcPr>
            <w:tcW w:w="10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0C3BED">
            <w:pPr>
              <w:autoSpaceDE w:val="0"/>
              <w:autoSpaceDN w:val="0"/>
              <w:adjustRightInd w:val="0"/>
              <w:spacing w:line="28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≤85dB（A）</w:t>
            </w:r>
          </w:p>
        </w:tc>
        <w:tc>
          <w:tcPr>
            <w:tcW w:w="96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B0BEF1">
            <w:pPr>
              <w:autoSpaceDE w:val="0"/>
              <w:autoSpaceDN w:val="0"/>
              <w:adjustRightInd w:val="0"/>
              <w:spacing w:line="280" w:lineRule="exact"/>
              <w:jc w:val="center"/>
              <w:rPr>
                <w:rFonts w:hint="eastAsia" w:ascii="宋体" w:hAnsi="宋体" w:eastAsia="宋体" w:cs="宋体"/>
                <w:kern w:val="0"/>
                <w:sz w:val="24"/>
                <w:szCs w:val="24"/>
                <w:lang w:val="zh-CN"/>
              </w:rPr>
            </w:pPr>
          </w:p>
        </w:tc>
        <w:tc>
          <w:tcPr>
            <w:tcW w:w="401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50E826">
            <w:pPr>
              <w:autoSpaceDE w:val="0"/>
              <w:autoSpaceDN w:val="0"/>
              <w:adjustRightInd w:val="0"/>
              <w:spacing w:line="28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工艺改善降低噪音</w:t>
            </w:r>
          </w:p>
        </w:tc>
      </w:tr>
    </w:tbl>
    <w:p w14:paraId="53207958">
      <w:pPr>
        <w:autoSpaceDE w:val="0"/>
        <w:autoSpaceDN w:val="0"/>
        <w:adjustRightInd w:val="0"/>
        <w:spacing w:line="440" w:lineRule="exact"/>
        <w:ind w:firstLine="480"/>
        <w:rPr>
          <w:rFonts w:hint="eastAsia" w:ascii="宋体" w:hAnsi="宋体" w:eastAsia="宋体" w:cs="宋体"/>
          <w:kern w:val="0"/>
          <w:sz w:val="24"/>
          <w:szCs w:val="24"/>
          <w:lang w:val="zh-CN"/>
        </w:rPr>
      </w:pPr>
    </w:p>
    <w:p w14:paraId="6FCF2B5B">
      <w:pPr>
        <w:numPr>
          <w:ilvl w:val="1"/>
          <w:numId w:val="1"/>
        </w:numPr>
        <w:autoSpaceDE w:val="0"/>
        <w:autoSpaceDN w:val="0"/>
        <w:adjustRightInd w:val="0"/>
        <w:spacing w:line="44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道德行为</w:t>
      </w:r>
    </w:p>
    <w:p w14:paraId="78EEFBD1">
      <w:pPr>
        <w:autoSpaceDE w:val="0"/>
        <w:autoSpaceDN w:val="0"/>
        <w:adjustRightInd w:val="0"/>
        <w:spacing w:line="44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践行“责任创新、合作共赢”理念，努力构建内外部的信用体系，结合各相关方的利益需求，从员工工资福利发放，合同履约，及时付款，按期纳税、还贷，公开信息披露、定期分红等方面设立指标定期测量监控。</w:t>
      </w:r>
    </w:p>
    <w:p w14:paraId="1A1629D3">
      <w:pPr>
        <w:autoSpaceDE w:val="0"/>
        <w:autoSpaceDN w:val="0"/>
        <w:adjustRightInd w:val="0"/>
        <w:spacing w:line="44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公司依照国家法律法规及公司章程，依法经营，诚实守信。制定了《新化准则》。公司领导带头学习《</w:t>
      </w:r>
      <w:r>
        <w:rPr>
          <w:rFonts w:hint="eastAsia" w:ascii="宋体" w:hAnsi="宋体" w:cs="宋体"/>
          <w:kern w:val="0"/>
          <w:sz w:val="24"/>
          <w:szCs w:val="24"/>
          <w:lang w:val="zh-CN"/>
        </w:rPr>
        <w:t>名典法</w:t>
      </w:r>
      <w:r>
        <w:rPr>
          <w:rFonts w:hint="eastAsia" w:ascii="宋体" w:hAnsi="宋体" w:eastAsia="宋体" w:cs="宋体"/>
          <w:kern w:val="0"/>
          <w:sz w:val="24"/>
          <w:szCs w:val="24"/>
          <w:lang w:val="zh-CN"/>
        </w:rPr>
        <w:t>》、《公司法》等相关法律，遵循“公平、公正、公开”的原则参与公司各种经营活动。重大事项均由集体讨论、民主决策；通过岗位述职、职务监管、内部审计等方式及资产保值增值、上缴国家税收、员工收入增长等指标考核，监测和促进公司道德规范体系建设。</w:t>
      </w:r>
    </w:p>
    <w:p w14:paraId="2BCFE5EC">
      <w:pPr>
        <w:autoSpaceDE w:val="0"/>
        <w:autoSpaceDN w:val="0"/>
        <w:adjustRightInd w:val="0"/>
        <w:spacing w:line="44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与供应商、客户实行“阳光交易”，严格履行合同，公开服务承诺，确保合同双方权益不受损害。在信息披露方面，坚决杜绝一切弄虚作假行为。公司被评为“浙江省企业社会责任建设A级”荣誉，并获得“浙江省绿色企业”、“浙江省绿色生态企业”称号。</w:t>
      </w:r>
    </w:p>
    <w:p w14:paraId="6686E5CE">
      <w:pPr>
        <w:autoSpaceDE w:val="0"/>
        <w:autoSpaceDN w:val="0"/>
        <w:adjustRightInd w:val="0"/>
        <w:spacing w:line="44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公司采用自查、社会公众及其他相关方监督、第三方测量相结合的方法，量化绩效指标，全面评价并促进组织内部及与顾客、供方和合作伙伴之间、公司治理中的诚信和道德行为。</w:t>
      </w:r>
    </w:p>
    <w:p w14:paraId="6848C716">
      <w:pPr>
        <w:autoSpaceDE w:val="0"/>
        <w:autoSpaceDN w:val="0"/>
        <w:adjustRightInd w:val="0"/>
        <w:spacing w:line="440" w:lineRule="exact"/>
        <w:ind w:firstLine="480"/>
        <w:rPr>
          <w:rFonts w:hint="eastAsia" w:ascii="宋体" w:hAnsi="宋体" w:eastAsia="宋体" w:cs="宋体"/>
          <w:kern w:val="0"/>
          <w:sz w:val="24"/>
          <w:szCs w:val="24"/>
          <w:lang w:val="zh-CN"/>
        </w:rPr>
      </w:pPr>
    </w:p>
    <w:p w14:paraId="141E0559">
      <w:pPr>
        <w:autoSpaceDE w:val="0"/>
        <w:autoSpaceDN w:val="0"/>
        <w:adjustRightInd w:val="0"/>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表5-4：公司诚信与道德体系表</w:t>
      </w:r>
    </w:p>
    <w:tbl>
      <w:tblPr>
        <w:tblStyle w:val="8"/>
        <w:tblW w:w="0" w:type="auto"/>
        <w:tblInd w:w="108" w:type="dxa"/>
        <w:tblLayout w:type="fixed"/>
        <w:tblCellMar>
          <w:top w:w="0" w:type="dxa"/>
          <w:left w:w="108" w:type="dxa"/>
          <w:bottom w:w="0" w:type="dxa"/>
          <w:right w:w="108" w:type="dxa"/>
        </w:tblCellMar>
      </w:tblPr>
      <w:tblGrid>
        <w:gridCol w:w="781"/>
        <w:gridCol w:w="887"/>
        <w:gridCol w:w="1842"/>
        <w:gridCol w:w="1418"/>
        <w:gridCol w:w="1701"/>
        <w:gridCol w:w="2551"/>
      </w:tblGrid>
      <w:tr w14:paraId="26B55E33">
        <w:tblPrEx>
          <w:tblCellMar>
            <w:top w:w="0" w:type="dxa"/>
            <w:left w:w="108" w:type="dxa"/>
            <w:bottom w:w="0" w:type="dxa"/>
            <w:right w:w="108" w:type="dxa"/>
          </w:tblCellMar>
        </w:tblPrEx>
        <w:trPr>
          <w:trHeight w:val="267" w:hRule="atLeast"/>
        </w:trPr>
        <w:tc>
          <w:tcPr>
            <w:tcW w:w="781"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79A2BC2D">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体系</w:t>
            </w:r>
          </w:p>
        </w:tc>
        <w:tc>
          <w:tcPr>
            <w:tcW w:w="887"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048779AB">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对象</w:t>
            </w:r>
          </w:p>
        </w:tc>
        <w:tc>
          <w:tcPr>
            <w:tcW w:w="1842"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48887E2D">
            <w:pPr>
              <w:autoSpaceDE w:val="0"/>
              <w:autoSpaceDN w:val="0"/>
              <w:adjustRightInd w:val="0"/>
              <w:spacing w:line="320" w:lineRule="exact"/>
              <w:jc w:val="center"/>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诚信准则</w:t>
            </w:r>
          </w:p>
          <w:p w14:paraId="3FAD3F69">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道德标准</w:t>
            </w:r>
          </w:p>
        </w:tc>
        <w:tc>
          <w:tcPr>
            <w:tcW w:w="1418"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202F1D55">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监督部门</w:t>
            </w:r>
          </w:p>
        </w:tc>
        <w:tc>
          <w:tcPr>
            <w:tcW w:w="1701"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0C3BF7D2">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监控指标</w:t>
            </w:r>
          </w:p>
        </w:tc>
        <w:tc>
          <w:tcPr>
            <w:tcW w:w="2551" w:type="dxa"/>
            <w:tcBorders>
              <w:top w:val="single" w:color="000000" w:sz="8" w:space="0"/>
              <w:left w:val="single" w:color="000000" w:sz="8" w:space="0"/>
              <w:bottom w:val="single" w:color="000000" w:sz="8" w:space="0"/>
              <w:right w:val="single" w:color="000000" w:sz="8" w:space="0"/>
            </w:tcBorders>
            <w:shd w:val="clear" w:color="auto" w:fill="0070C0"/>
            <w:noWrap w:val="0"/>
            <w:vAlign w:val="center"/>
          </w:tcPr>
          <w:p w14:paraId="37508CC4">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保证措施</w:t>
            </w:r>
          </w:p>
        </w:tc>
      </w:tr>
      <w:tr w14:paraId="5FB083FA">
        <w:tblPrEx>
          <w:tblCellMar>
            <w:top w:w="0" w:type="dxa"/>
            <w:left w:w="108" w:type="dxa"/>
            <w:bottom w:w="0" w:type="dxa"/>
            <w:right w:w="108" w:type="dxa"/>
          </w:tblCellMar>
        </w:tblPrEx>
        <w:trPr>
          <w:trHeight w:val="674" w:hRule="atLeast"/>
        </w:trPr>
        <w:tc>
          <w:tcPr>
            <w:tcW w:w="781"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7AB9265">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员工诚信道德体系</w:t>
            </w: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6946307">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中高层领导</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17024ACB">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勤政、廉洁、高效</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248DC993">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股东大会、董事会、监事会、党委、审计部</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7B829E49">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诚信记录、测评得分、违法犯罪率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135F8E3">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思想道德教育、廉政教育，签署廉政协议，接受民主测评、定期审计、监督检查</w:t>
            </w:r>
          </w:p>
        </w:tc>
      </w:tr>
      <w:tr w14:paraId="2F55197D">
        <w:tblPrEx>
          <w:tblCellMar>
            <w:top w:w="0" w:type="dxa"/>
            <w:left w:w="108" w:type="dxa"/>
            <w:bottom w:w="0" w:type="dxa"/>
            <w:right w:w="108" w:type="dxa"/>
          </w:tblCellMar>
        </w:tblPrEx>
        <w:trPr>
          <w:trHeight w:val="488"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DAE0045">
            <w:pPr>
              <w:autoSpaceDE w:val="0"/>
              <w:autoSpaceDN w:val="0"/>
              <w:adjustRightInd w:val="0"/>
              <w:spacing w:line="320" w:lineRule="exact"/>
              <w:jc w:val="center"/>
              <w:rPr>
                <w:rFonts w:hint="eastAsia" w:ascii="宋体" w:hAnsi="宋体" w:eastAsia="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F788666">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普通</w:t>
            </w:r>
          </w:p>
          <w:p w14:paraId="4D139BB7">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员工</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55562292">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诚信、守法、规范</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2560E86B">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党委、人资部</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57F4D039">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“好人好事”数量、违规通报次数、违法犯罪率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4883BD14">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思想道德教育、好人好事宣传、内部纪律检查</w:t>
            </w:r>
          </w:p>
        </w:tc>
      </w:tr>
      <w:tr w14:paraId="177481E3">
        <w:tblPrEx>
          <w:tblCellMar>
            <w:top w:w="0" w:type="dxa"/>
            <w:left w:w="108" w:type="dxa"/>
            <w:bottom w:w="0" w:type="dxa"/>
            <w:right w:w="108" w:type="dxa"/>
          </w:tblCellMar>
        </w:tblPrEx>
        <w:trPr>
          <w:trHeight w:val="488" w:hRule="atLeast"/>
        </w:trPr>
        <w:tc>
          <w:tcPr>
            <w:tcW w:w="781" w:type="dxa"/>
            <w:vMerge w:val="restart"/>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7FEC184">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b/>
                <w:bCs/>
                <w:kern w:val="0"/>
                <w:sz w:val="24"/>
                <w:szCs w:val="24"/>
                <w:lang w:val="zh-CN"/>
              </w:rPr>
              <w:t>公司诚信道德体系</w:t>
            </w: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7F9375E7">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员工</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A062971">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关爱、尊重</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26205080">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工会</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93E368C">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员工满意度、关键岗位员工流失率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F3DFC79">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营造“关爱+尊重”的人文环境， 建立“传承+创新”的培养机制， 完善“发展+共享”的激励制度</w:t>
            </w:r>
          </w:p>
        </w:tc>
      </w:tr>
      <w:tr w14:paraId="0E99F6C9">
        <w:tblPrEx>
          <w:tblCellMar>
            <w:top w:w="0" w:type="dxa"/>
            <w:left w:w="108" w:type="dxa"/>
            <w:bottom w:w="0" w:type="dxa"/>
            <w:right w:w="108" w:type="dxa"/>
          </w:tblCellMar>
        </w:tblPrEx>
        <w:trPr>
          <w:trHeight w:val="194"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025DAAC">
            <w:pPr>
              <w:autoSpaceDE w:val="0"/>
              <w:autoSpaceDN w:val="0"/>
              <w:adjustRightInd w:val="0"/>
              <w:spacing w:line="320" w:lineRule="exact"/>
              <w:jc w:val="center"/>
              <w:rPr>
                <w:rFonts w:hint="eastAsia" w:ascii="宋体" w:hAnsi="宋体" w:eastAsia="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5394271E">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供方</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509A32D7">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拓展供方、优化供方、发展供方</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647DA1B">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供方</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74D5A7AB">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供应商满意度、付款及时率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14410F82">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按时付款、友好合作</w:t>
            </w:r>
          </w:p>
        </w:tc>
      </w:tr>
      <w:tr w14:paraId="5FACC7E4">
        <w:tblPrEx>
          <w:tblCellMar>
            <w:top w:w="0" w:type="dxa"/>
            <w:left w:w="108" w:type="dxa"/>
            <w:bottom w:w="0" w:type="dxa"/>
            <w:right w:w="108" w:type="dxa"/>
          </w:tblCellMar>
        </w:tblPrEx>
        <w:trPr>
          <w:trHeight w:val="230"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27C59F4A">
            <w:pPr>
              <w:autoSpaceDE w:val="0"/>
              <w:autoSpaceDN w:val="0"/>
              <w:adjustRightInd w:val="0"/>
              <w:spacing w:line="320" w:lineRule="exact"/>
              <w:jc w:val="center"/>
              <w:rPr>
                <w:rFonts w:hint="eastAsia" w:ascii="宋体" w:hAnsi="宋体" w:eastAsia="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60AD4C49">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顾客</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14D01A37">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一流品质、优质服务</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1D8D6008">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顾客</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78D3C1D">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合同履约率、顾客满意度</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7C45CC3C">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提供高性价比产品、优质服务</w:t>
            </w:r>
          </w:p>
        </w:tc>
      </w:tr>
      <w:tr w14:paraId="3D563039">
        <w:tblPrEx>
          <w:tblCellMar>
            <w:top w:w="0" w:type="dxa"/>
            <w:left w:w="108" w:type="dxa"/>
            <w:bottom w:w="0" w:type="dxa"/>
            <w:right w:w="108" w:type="dxa"/>
          </w:tblCellMar>
        </w:tblPrEx>
        <w:trPr>
          <w:trHeight w:val="230"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99EBA9E">
            <w:pPr>
              <w:autoSpaceDE w:val="0"/>
              <w:autoSpaceDN w:val="0"/>
              <w:adjustRightInd w:val="0"/>
              <w:spacing w:line="320" w:lineRule="exact"/>
              <w:jc w:val="center"/>
              <w:rPr>
                <w:rFonts w:hint="eastAsia" w:ascii="宋体" w:hAnsi="宋体" w:eastAsia="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5452CC1D">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社会</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5FE90A85">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发展新化事业，回报社会公众</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482FF628">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政府、社区</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2B6A5963">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信用等级、纳税及时率、环保达标率、公益投入</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79FD654">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依法纳税、三废及噪音控制、热衷公益事业</w:t>
            </w:r>
          </w:p>
        </w:tc>
      </w:tr>
      <w:tr w14:paraId="0CD14A85">
        <w:tblPrEx>
          <w:tblCellMar>
            <w:top w:w="0" w:type="dxa"/>
            <w:left w:w="108" w:type="dxa"/>
            <w:bottom w:w="0" w:type="dxa"/>
            <w:right w:w="108" w:type="dxa"/>
          </w:tblCellMar>
        </w:tblPrEx>
        <w:trPr>
          <w:trHeight w:val="782" w:hRule="atLeast"/>
        </w:trPr>
        <w:tc>
          <w:tcPr>
            <w:tcW w:w="781" w:type="dxa"/>
            <w:vMerge w:val="continue"/>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84D5B0F">
            <w:pPr>
              <w:autoSpaceDE w:val="0"/>
              <w:autoSpaceDN w:val="0"/>
              <w:adjustRightInd w:val="0"/>
              <w:spacing w:line="320" w:lineRule="exact"/>
              <w:jc w:val="center"/>
              <w:rPr>
                <w:rFonts w:hint="eastAsia" w:ascii="宋体" w:hAnsi="宋体" w:eastAsia="宋体" w:cs="宋体"/>
                <w:kern w:val="0"/>
                <w:sz w:val="24"/>
                <w:szCs w:val="24"/>
                <w:lang w:val="zh-CN"/>
              </w:rPr>
            </w:pPr>
          </w:p>
        </w:tc>
        <w:tc>
          <w:tcPr>
            <w:tcW w:w="887"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61B47D2C">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股东</w:t>
            </w:r>
          </w:p>
        </w:tc>
        <w:tc>
          <w:tcPr>
            <w:tcW w:w="1842"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08A649E8">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切实保护股东特别是中小股东的利益</w:t>
            </w:r>
          </w:p>
        </w:tc>
        <w:tc>
          <w:tcPr>
            <w:tcW w:w="1418"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3CAD2B94">
            <w:pPr>
              <w:autoSpaceDE w:val="0"/>
              <w:autoSpaceDN w:val="0"/>
              <w:adjustRightInd w:val="0"/>
              <w:spacing w:line="32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国资委</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735CD206">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所有者权益、每股收益、分红频率</w:t>
            </w:r>
          </w:p>
        </w:tc>
        <w:tc>
          <w:tcPr>
            <w:tcW w:w="2551" w:type="dxa"/>
            <w:tcBorders>
              <w:top w:val="single" w:color="000000" w:sz="8" w:space="0"/>
              <w:left w:val="single" w:color="000000" w:sz="8" w:space="0"/>
              <w:bottom w:val="single" w:color="000000" w:sz="8" w:space="0"/>
              <w:right w:val="single" w:color="000000" w:sz="8" w:space="0"/>
            </w:tcBorders>
            <w:shd w:val="clear" w:color="000000" w:fill="FFFFFF"/>
            <w:noWrap w:val="0"/>
            <w:vAlign w:val="center"/>
          </w:tcPr>
          <w:p w14:paraId="5134FCC6">
            <w:pPr>
              <w:autoSpaceDE w:val="0"/>
              <w:autoSpaceDN w:val="0"/>
              <w:adjustRightInd w:val="0"/>
              <w:spacing w:line="32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稳定分红、及时公开的信息披露</w:t>
            </w:r>
          </w:p>
        </w:tc>
      </w:tr>
    </w:tbl>
    <w:p w14:paraId="1DFCA320">
      <w:pPr>
        <w:tabs>
          <w:tab w:val="center" w:pos="4201"/>
          <w:tab w:val="right" w:leader="dot" w:pos="9298"/>
        </w:tabs>
        <w:autoSpaceDE w:val="0"/>
        <w:autoSpaceDN w:val="0"/>
        <w:adjustRightInd w:val="0"/>
        <w:spacing w:line="440" w:lineRule="exact"/>
        <w:rPr>
          <w:rFonts w:hint="eastAsia" w:ascii="宋体" w:hAnsi="宋体" w:eastAsia="宋体" w:cs="宋体"/>
          <w:b/>
          <w:bCs/>
          <w:kern w:val="0"/>
          <w:sz w:val="24"/>
          <w:szCs w:val="24"/>
          <w:u w:val="single"/>
          <w:lang w:val="zh-CN"/>
        </w:rPr>
      </w:pPr>
    </w:p>
    <w:p w14:paraId="543B6B26">
      <w:pPr>
        <w:numPr>
          <w:ilvl w:val="1"/>
          <w:numId w:val="1"/>
        </w:numPr>
        <w:autoSpaceDE w:val="0"/>
        <w:autoSpaceDN w:val="0"/>
        <w:adjustRightInd w:val="0"/>
        <w:spacing w:line="440" w:lineRule="exact"/>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尊重他人知识产权</w:t>
      </w:r>
    </w:p>
    <w:p w14:paraId="5F37953D">
      <w:pPr>
        <w:autoSpaceDE w:val="0"/>
        <w:autoSpaceDN w:val="0"/>
        <w:adjustRightInd w:val="0"/>
        <w:spacing w:line="44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公司已经按照GB/T 29490-2013《企业知识产权管理规范》建立了知识产权管理程序，形成了完善的知识产权管理体系。</w:t>
      </w:r>
    </w:p>
    <w:p w14:paraId="7823D96C">
      <w:pPr>
        <w:autoSpaceDE w:val="0"/>
        <w:autoSpaceDN w:val="0"/>
        <w:adjustRightInd w:val="0"/>
        <w:spacing w:line="440" w:lineRule="exact"/>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公司在设计开发立项前、项目执行中和项目结束时分布开展知识产权检索调查，规避侵权风险；对原材料生产厂家，公司供应部收集供方信息和产品信息，要求供方提供权属证明，必要时签署保密协议和免责协议，保障双方权益；涉外贸易时，国际贸易部收集输出国的法律法规情况和相关产品知识产权情况，防止侵权与被侵权。公司在技术引进合同签订前，组织开展知识产权的检索、审查论证，并在合同中明确规定双方知识产权的权利和义务以及承担的法律责任，避免因知识产权问题而导致重大损失。</w:t>
      </w:r>
    </w:p>
    <w:p w14:paraId="6B6B5721">
      <w:pPr>
        <w:spacing w:line="440" w:lineRule="exact"/>
        <w:ind w:firstLine="472" w:firstLineChars="200"/>
        <w:rPr>
          <w:rFonts w:hint="eastAsia" w:ascii="宋体" w:hAnsi="宋体" w:eastAsia="宋体" w:cs="宋体"/>
          <w:spacing w:val="-2"/>
          <w:sz w:val="24"/>
          <w:szCs w:val="24"/>
        </w:rPr>
      </w:pPr>
    </w:p>
    <w:p w14:paraId="53DFF2CE">
      <w:pPr>
        <w:spacing w:line="440" w:lineRule="exact"/>
        <w:rPr>
          <w:rFonts w:hint="eastAsia" w:ascii="宋体" w:hAnsi="宋体" w:eastAsia="宋体" w:cs="宋体"/>
          <w:kern w:val="0"/>
          <w:sz w:val="24"/>
          <w:szCs w:val="24"/>
        </w:rPr>
      </w:pPr>
      <w:r>
        <w:rPr>
          <w:rFonts w:hint="eastAsia" w:ascii="黑体" w:hAnsi="黑体" w:eastAsia="黑体" w:cs="黑体"/>
          <w:kern w:val="0"/>
          <w:sz w:val="24"/>
          <w:szCs w:val="24"/>
        </w:rPr>
        <w:t>3劳工实践</w:t>
      </w:r>
    </w:p>
    <w:p w14:paraId="204AE0C3">
      <w:pPr>
        <w:spacing w:line="440" w:lineRule="exact"/>
        <w:rPr>
          <w:rFonts w:hint="eastAsia" w:ascii="宋体" w:hAnsi="宋体" w:eastAsia="宋体" w:cs="宋体"/>
          <w:sz w:val="24"/>
          <w:szCs w:val="24"/>
        </w:rPr>
      </w:pPr>
      <w:r>
        <w:rPr>
          <w:rFonts w:hint="eastAsia" w:ascii="宋体" w:hAnsi="宋体" w:eastAsia="宋体" w:cs="宋体"/>
          <w:kern w:val="0"/>
          <w:sz w:val="24"/>
          <w:szCs w:val="24"/>
        </w:rPr>
        <w:t>3.1提要</w:t>
      </w:r>
    </w:p>
    <w:p w14:paraId="41E4E211">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公司建立了由职位分析评价体系、绩效评价体系、素质能力识别体系、教育培训开发体系、薪酬激励体系、职业发展体系等体系构成的人力资源开发与管理系统，营造卓越的阶梯式人才培养、多渠道的职业发展空间，有效促进企业与员工的共同发展。</w:t>
      </w:r>
    </w:p>
    <w:p w14:paraId="0384F265">
      <w:pPr>
        <w:spacing w:line="440" w:lineRule="exact"/>
        <w:rPr>
          <w:rFonts w:hint="eastAsia" w:ascii="宋体" w:hAnsi="宋体" w:eastAsia="宋体" w:cs="宋体"/>
          <w:bCs/>
          <w:sz w:val="24"/>
          <w:szCs w:val="24"/>
        </w:rPr>
      </w:pPr>
      <w:r>
        <w:rPr>
          <w:rFonts w:hint="eastAsia" w:ascii="宋体" w:hAnsi="宋体" w:eastAsia="宋体" w:cs="宋体"/>
          <w:bCs/>
          <w:sz w:val="24"/>
          <w:szCs w:val="24"/>
        </w:rPr>
        <w:t>3.2工作的组织和管理</w:t>
      </w:r>
    </w:p>
    <w:p w14:paraId="203F4A3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宋体" w:hAnsi="宋体" w:eastAsia="宋体" w:cs="宋体"/>
          <w:bCs/>
          <w:kern w:val="0"/>
          <w:sz w:val="24"/>
          <w:szCs w:val="24"/>
        </w:rPr>
      </w:pPr>
      <w:r>
        <w:rPr>
          <w:rFonts w:hint="eastAsia" w:ascii="宋体" w:hAnsi="宋体" w:eastAsia="宋体" w:cs="宋体"/>
          <w:bCs/>
          <w:kern w:val="0"/>
          <w:sz w:val="24"/>
          <w:szCs w:val="24"/>
        </w:rPr>
        <w:t>3.2.1建立完善的组织机构，实施人性化的管理</w:t>
      </w:r>
    </w:p>
    <w:p w14:paraId="60BB8519">
      <w:pPr>
        <w:adjustRightInd w:val="0"/>
        <w:snapToGrid w:val="0"/>
        <w:spacing w:line="44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a）工作系统的完善</w:t>
      </w:r>
    </w:p>
    <w:p w14:paraId="2B848595">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为实现公司发展战略目标，按照“为股东提供回报，为员工提供平台；为客户创造价值，为社会创造财富”的企业使命，公司建立了三位一体的人力资源开发与管理系统，高效、完善、严密的管理体系，形成了“企业发展，员工成长，和谐共赢”的发展局面。</w:t>
      </w:r>
    </w:p>
    <w:p w14:paraId="57F335DC">
      <w:pPr>
        <w:adjustRightInd w:val="0"/>
        <w:snapToGrid w:val="0"/>
        <w:spacing w:line="440" w:lineRule="exact"/>
        <w:ind w:firstLine="482"/>
        <w:rPr>
          <w:rFonts w:hint="eastAsia" w:ascii="宋体" w:hAnsi="宋体" w:eastAsia="宋体" w:cs="宋体"/>
          <w:sz w:val="24"/>
          <w:szCs w:val="24"/>
        </w:rPr>
      </w:pPr>
      <w:r>
        <w:rPr>
          <w:rFonts w:hint="eastAsia" w:ascii="宋体" w:hAnsi="宋体" w:eastAsia="宋体" w:cs="宋体"/>
          <w:sz w:val="24"/>
          <w:szCs w:val="24"/>
        </w:rPr>
        <w:t>b) 建立扁平化的组织结构</w:t>
      </w:r>
    </w:p>
    <w:p w14:paraId="77009259">
      <w:pPr>
        <w:adjustRightInd w:val="0"/>
        <w:snapToGrid w:val="0"/>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组织结构是公司组织意识和组织机制赖以存在的基础。为提高工作效率，公司在岗位分析基础上，构建了扁平化的组织结构形式，明确岗位权限进行授权，各部门目标明确，各项经营管理活动有条不紊，有效地提高了决策效率，促进了企业战略的实施。</w:t>
      </w:r>
    </w:p>
    <w:p w14:paraId="372A5C69">
      <w:pPr>
        <w:adjustRightInd w:val="0"/>
        <w:snapToGrid w:val="0"/>
        <w:spacing w:line="440" w:lineRule="exact"/>
        <w:ind w:firstLine="470"/>
        <w:rPr>
          <w:rFonts w:hint="eastAsia" w:ascii="宋体" w:hAnsi="宋体" w:eastAsia="宋体" w:cs="宋体"/>
          <w:sz w:val="24"/>
          <w:szCs w:val="24"/>
        </w:rPr>
      </w:pPr>
      <w:r>
        <w:rPr>
          <w:rFonts w:hint="eastAsia" w:ascii="宋体" w:hAnsi="宋体" w:eastAsia="宋体" w:cs="宋体"/>
          <w:sz w:val="24"/>
          <w:szCs w:val="24"/>
        </w:rPr>
        <w:t>公司制定了《部门职责》和《岗位说明书》，明确部门、岗位职权职责、岗位任职资格等。为保证组织的有效运行，最大限度发挥其应有作用，公司人力资源部每年对各个部门功能的执行情况进行检查，对工作效率进行评定，对横向管理与纵向管理的协调关系进行监督，对发现的问题进行及时整改，对岗位人员进行调整。</w:t>
      </w:r>
    </w:p>
    <w:p w14:paraId="7A4979C0">
      <w:pPr>
        <w:pStyle w:val="7"/>
        <w:spacing w:before="0" w:beforeAutospacing="0" w:after="0" w:afterAutospacing="0" w:line="440" w:lineRule="exact"/>
        <w:ind w:firstLine="470" w:firstLineChars="196"/>
        <w:textAlignment w:val="baseline"/>
        <w:outlineLvl w:val="4"/>
        <w:rPr>
          <w:rFonts w:hint="eastAsia" w:ascii="宋体" w:hAnsi="宋体" w:eastAsia="宋体" w:cs="宋体"/>
          <w:sz w:val="24"/>
          <w:szCs w:val="24"/>
        </w:rPr>
      </w:pPr>
      <w:r>
        <w:rPr>
          <w:rFonts w:hint="eastAsia" w:ascii="宋体" w:hAnsi="宋体" w:eastAsia="宋体" w:cs="宋体"/>
          <w:sz w:val="24"/>
          <w:szCs w:val="24"/>
        </w:rPr>
        <w:t>c) 合作创新授权的团队文化</w:t>
      </w:r>
    </w:p>
    <w:p w14:paraId="7E20AFEC">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为提高工作效率，激发各级领导和职能部门的积极性、主动性，公司以《部门职能说明书》和《岗位说明书》的形式进行了授权，职责明确，职权清晰，使公司高层从繁忙的具体事务中解脱出来，专注于研究公司发展战略，处理公司重大事务。为确保工作顺利，公司制定了完善的管理制度，并依托信息化管理系统加强流程管理，确保在授权的情况下，权利受到约束。</w:t>
      </w:r>
    </w:p>
    <w:p w14:paraId="410E2CFD">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同时依据不同时期的主要目标任务和生产经营、管理等各方面的关键问题，适时组成灵活多样的各种工作小组，进行重点攻关和创新活动。同时公司设立多种跨部门职能小组，如项目组、QC小组等，这些职能小组有利于员工授权，营造员工积极参与管理的氛围。</w:t>
      </w:r>
    </w:p>
    <w:p w14:paraId="03CB9EC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宋体" w:hAnsi="宋体" w:eastAsia="宋体" w:cs="宋体"/>
          <w:bCs/>
          <w:kern w:val="0"/>
          <w:sz w:val="24"/>
          <w:szCs w:val="24"/>
        </w:rPr>
      </w:pPr>
      <w:r>
        <w:rPr>
          <w:rFonts w:hint="eastAsia" w:ascii="宋体" w:hAnsi="宋体" w:eastAsia="宋体" w:cs="宋体"/>
          <w:bCs/>
          <w:kern w:val="0"/>
          <w:sz w:val="24"/>
          <w:szCs w:val="24"/>
        </w:rPr>
        <w:t>3.2.2 员工的招聘、任用及留用</w:t>
      </w:r>
    </w:p>
    <w:p w14:paraId="64130134">
      <w:pPr>
        <w:pStyle w:val="7"/>
        <w:spacing w:before="0" w:beforeAutospacing="0" w:after="0" w:afterAutospacing="0" w:line="440" w:lineRule="exact"/>
        <w:ind w:firstLine="470" w:firstLineChars="196"/>
        <w:textAlignment w:val="baseline"/>
        <w:outlineLvl w:val="3"/>
        <w:rPr>
          <w:rFonts w:hint="eastAsia" w:ascii="宋体" w:hAnsi="宋体" w:eastAsia="宋体" w:cs="宋体"/>
          <w:sz w:val="24"/>
          <w:szCs w:val="24"/>
        </w:rPr>
      </w:pPr>
      <w:r>
        <w:rPr>
          <w:rFonts w:hint="eastAsia" w:ascii="宋体" w:hAnsi="宋体" w:eastAsia="宋体" w:cs="宋体"/>
          <w:sz w:val="24"/>
          <w:szCs w:val="24"/>
        </w:rPr>
        <w:t>a）科学合理的公开招聘</w:t>
      </w:r>
    </w:p>
    <w:p w14:paraId="55979C54">
      <w:pPr>
        <w:pStyle w:val="7"/>
        <w:spacing w:before="0" w:beforeAutospacing="0" w:after="0" w:afterAutospacing="0" w:line="440" w:lineRule="exact"/>
        <w:ind w:firstLine="470" w:firstLineChars="196"/>
        <w:textAlignment w:val="baseline"/>
        <w:outlineLvl w:val="3"/>
        <w:rPr>
          <w:rFonts w:hint="eastAsia" w:ascii="宋体" w:hAnsi="宋体" w:eastAsia="宋体" w:cs="宋体"/>
          <w:sz w:val="24"/>
          <w:szCs w:val="24"/>
        </w:rPr>
      </w:pPr>
      <w:r>
        <w:rPr>
          <w:rFonts w:hint="eastAsia" w:ascii="宋体" w:hAnsi="宋体" w:eastAsia="宋体" w:cs="宋体"/>
          <w:sz w:val="24"/>
          <w:szCs w:val="24"/>
        </w:rPr>
        <w:t>公司用人部门提出需求计划，人力资源部根据人力资源规划以及研究评估岗位空缺情况之后经过审批，与用人部门沟通起草招聘要求。对于不同的招聘对象，公司采取不同的招聘渠道，尽最大可能的招募到符合企业发展、具备企业要求能力的人才。</w:t>
      </w:r>
    </w:p>
    <w:p w14:paraId="1BEFC419">
      <w:pPr>
        <w:spacing w:line="440" w:lineRule="exact"/>
        <w:ind w:firstLine="470" w:firstLineChars="196"/>
        <w:rPr>
          <w:rFonts w:hint="eastAsia" w:ascii="宋体" w:hAnsi="宋体" w:eastAsia="宋体" w:cs="宋体"/>
          <w:b/>
          <w:bCs/>
          <w:position w:val="-40"/>
          <w:sz w:val="24"/>
          <w:szCs w:val="24"/>
        </w:rPr>
      </w:pPr>
      <w:r>
        <w:rPr>
          <w:rFonts w:hint="eastAsia" w:ascii="宋体" w:hAnsi="宋体" w:eastAsia="宋体" w:cs="宋体"/>
          <w:sz w:val="24"/>
          <w:szCs w:val="24"/>
        </w:rPr>
        <w:t xml:space="preserve">公司成立卓越绩效领导小组及卓越模式实施团队，参加了卓越绩效模式标准培训；聘请权威专家讲授卓越绩效知识；卓越实施团队组织开展全员的卓越绩效知识培训，组织有关人员开展卓越绩效模式专题研讨会；根据卓越绩效标准知识，向公司全体人员宣贯，充分调动员工学习热情，使员工具备卓越模式运行所需的能力。 </w:t>
      </w:r>
    </w:p>
    <w:p w14:paraId="1F317251">
      <w:pPr>
        <w:spacing w:line="440" w:lineRule="exact"/>
        <w:ind w:firstLine="470" w:firstLineChars="196"/>
        <w:rPr>
          <w:rFonts w:hint="eastAsia" w:ascii="宋体" w:hAnsi="宋体" w:eastAsia="宋体" w:cs="宋体"/>
          <w:b/>
          <w:bCs/>
          <w:position w:val="-40"/>
          <w:sz w:val="24"/>
          <w:szCs w:val="24"/>
        </w:rPr>
      </w:pPr>
      <w:r>
        <w:rPr>
          <w:rFonts w:hint="eastAsia" w:ascii="宋体" w:hAnsi="宋体" w:eastAsia="宋体" w:cs="宋体"/>
          <w:sz w:val="24"/>
          <w:szCs w:val="24"/>
        </w:rPr>
        <w:t>公司对各职能部门的人员需求进行调查，通过开展岗位测评、职务分析，确定岗位任职资格，从岗位专业知识、技能、学历、工作经验等方面评估与识别岗位任职人员的能力，确保人员能力与岗位素质相匹配的人力资源。</w:t>
      </w:r>
    </w:p>
    <w:p w14:paraId="6BFCE806">
      <w:pPr>
        <w:spacing w:line="440" w:lineRule="exact"/>
        <w:ind w:firstLine="480" w:firstLineChars="200"/>
        <w:rPr>
          <w:rFonts w:hint="eastAsia" w:ascii="宋体" w:hAnsi="宋体" w:eastAsia="宋体" w:cs="宋体"/>
          <w:b/>
          <w:bCs/>
          <w:position w:val="-40"/>
          <w:sz w:val="24"/>
          <w:szCs w:val="24"/>
        </w:rPr>
      </w:pPr>
      <w:r>
        <w:rPr>
          <w:rFonts w:hint="eastAsia" w:ascii="宋体" w:hAnsi="宋体" w:eastAsia="宋体" w:cs="宋体"/>
          <w:sz w:val="24"/>
          <w:szCs w:val="24"/>
        </w:rPr>
        <w:t>公司通过岗位分析，区分出简单、一般、重要、关健岗位，针对不同岗位人员采取差异化能力提升培训，如公司内岗位技能培训、业务知识培训、高校送培方式、助手制、师带徒制，建立优胜劣汰机制，提升现有人员的业务与技能水平，确保员工能力适应公司发展要求。</w:t>
      </w:r>
    </w:p>
    <w:p w14:paraId="02D80CED">
      <w:pPr>
        <w:spacing w:line="440" w:lineRule="exact"/>
        <w:rPr>
          <w:rFonts w:hint="eastAsia" w:ascii="宋体" w:hAnsi="宋体" w:eastAsia="宋体" w:cs="宋体"/>
          <w:bCs/>
          <w:sz w:val="24"/>
          <w:szCs w:val="24"/>
        </w:rPr>
      </w:pPr>
      <w:r>
        <w:rPr>
          <w:rFonts w:hint="eastAsia" w:ascii="宋体" w:hAnsi="宋体" w:eastAsia="宋体" w:cs="宋体"/>
          <w:bCs/>
          <w:kern w:val="0"/>
          <w:sz w:val="24"/>
          <w:szCs w:val="24"/>
        </w:rPr>
        <w:t>3.2.3</w:t>
      </w:r>
      <w:r>
        <w:rPr>
          <w:rFonts w:hint="eastAsia" w:ascii="宋体" w:hAnsi="宋体" w:eastAsia="宋体" w:cs="宋体"/>
          <w:bCs/>
          <w:sz w:val="24"/>
          <w:szCs w:val="24"/>
        </w:rPr>
        <w:t>积极听取和采纳相关方的意见，畅通沟通渠道，促进技能共享</w:t>
      </w:r>
    </w:p>
    <w:p w14:paraId="2049719E">
      <w:pPr>
        <w:autoSpaceDE w:val="0"/>
        <w:autoSpaceDN w:val="0"/>
        <w:adjustRightInd w:val="0"/>
        <w:spacing w:line="440" w:lineRule="exact"/>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a）公司内外部沟通、交流和分享</w:t>
      </w:r>
    </w:p>
    <w:p w14:paraId="3FB266DE">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公司通过多种形式与渠道积极听取员工和顾客的意见及建议，合理采纳，以促进各项工作持续改进与提高，也使得员工有更多机会将声音传达到高层。 </w:t>
      </w:r>
    </w:p>
    <w:p w14:paraId="189896B5">
      <w:pPr>
        <w:autoSpaceDE w:val="0"/>
        <w:autoSpaceDN w:val="0"/>
        <w:adjustRightInd w:val="0"/>
        <w:spacing w:line="440" w:lineRule="exact"/>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b）搭建沟通平台，促进资源共享</w:t>
      </w:r>
    </w:p>
    <w:p w14:paraId="19A43D57">
      <w:pPr>
        <w:autoSpaceDE w:val="0"/>
        <w:autoSpaceDN w:val="0"/>
        <w:adjustRightIn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为促进有效沟通与资源共享，公司通过搭建各种沟通平台以实现不同部门、职位和地区之间的信息资源高度共享。</w:t>
      </w:r>
    </w:p>
    <w:p w14:paraId="67430B41">
      <w:pPr>
        <w:autoSpaceDE w:val="0"/>
        <w:autoSpaceDN w:val="0"/>
        <w:adjustRightInd w:val="0"/>
        <w:spacing w:line="4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3.3 </w:t>
      </w:r>
      <w:r>
        <w:rPr>
          <w:rFonts w:hint="eastAsia" w:ascii="宋体" w:hAnsi="宋体" w:eastAsia="宋体" w:cs="宋体"/>
          <w:bCs/>
          <w:kern w:val="0"/>
          <w:sz w:val="24"/>
          <w:szCs w:val="24"/>
        </w:rPr>
        <w:t>员工绩效管理</w:t>
      </w:r>
    </w:p>
    <w:p w14:paraId="27BB4F99">
      <w:pPr>
        <w:pStyle w:val="7"/>
        <w:spacing w:before="0" w:beforeAutospacing="0" w:after="0" w:afterAutospacing="0" w:line="440" w:lineRule="exact"/>
        <w:textAlignment w:val="baseline"/>
        <w:outlineLvl w:val="4"/>
        <w:rPr>
          <w:rFonts w:hint="eastAsia" w:ascii="宋体" w:hAnsi="宋体" w:eastAsia="宋体" w:cs="宋体"/>
          <w:sz w:val="24"/>
          <w:szCs w:val="24"/>
        </w:rPr>
      </w:pPr>
      <w:r>
        <w:rPr>
          <w:rFonts w:hint="eastAsia" w:ascii="宋体" w:hAnsi="宋体" w:eastAsia="宋体" w:cs="宋体"/>
          <w:sz w:val="24"/>
          <w:szCs w:val="24"/>
        </w:rPr>
        <w:t>3.3.1规范的多层次绩效考核体系</w:t>
      </w:r>
    </w:p>
    <w:p w14:paraId="4CA1B861">
      <w:pPr>
        <w:pStyle w:val="7"/>
        <w:spacing w:before="0" w:beforeAutospacing="0" w:after="0" w:afterAutospacing="0" w:line="440" w:lineRule="exact"/>
        <w:ind w:firstLine="470"/>
        <w:textAlignment w:val="baseline"/>
        <w:rPr>
          <w:rFonts w:hint="eastAsia" w:ascii="宋体" w:hAnsi="宋体" w:eastAsia="宋体" w:cs="宋体"/>
          <w:sz w:val="24"/>
          <w:szCs w:val="24"/>
        </w:rPr>
      </w:pPr>
      <w:r>
        <w:rPr>
          <w:rFonts w:hint="eastAsia" w:ascii="宋体" w:hAnsi="宋体" w:eastAsia="宋体" w:cs="宋体"/>
          <w:sz w:val="24"/>
          <w:szCs w:val="24"/>
        </w:rPr>
        <w:t>公司遵循方案统一、公开公平、直接考核、时效性和客观性原则，依据《绩效考核管理管理办法》中岗位类型分不同目标进行考核。员工绩效考核结果与其绩效工资挂钩，根据考核的结果确定绩效工资系数。绩效管理的意义在于以企业价值创造为核心，推行目标管理，使公司整体战略目标得以层层分解，责任到岗，并保证目标一致性；客观评价员工的工作业绩，把经营业绩与公司、部门和个人的回报相结合，保证公司整体战略目标贯彻执行，并指导帮助员工不断发展。</w:t>
      </w:r>
    </w:p>
    <w:p w14:paraId="64DBA464">
      <w:pPr>
        <w:pStyle w:val="7"/>
        <w:spacing w:before="0" w:beforeAutospacing="0" w:after="0" w:afterAutospacing="0" w:line="440" w:lineRule="exact"/>
        <w:textAlignment w:val="baseline"/>
        <w:outlineLvl w:val="4"/>
        <w:rPr>
          <w:rFonts w:hint="eastAsia" w:ascii="宋体" w:hAnsi="宋体" w:eastAsia="宋体" w:cs="宋体"/>
          <w:sz w:val="24"/>
          <w:szCs w:val="24"/>
        </w:rPr>
      </w:pPr>
      <w:r>
        <w:rPr>
          <w:rFonts w:hint="eastAsia" w:ascii="宋体" w:hAnsi="宋体" w:eastAsia="宋体" w:cs="宋体"/>
          <w:sz w:val="24"/>
          <w:szCs w:val="24"/>
        </w:rPr>
        <w:t>3.3.2公平合理的薪酬体系</w:t>
      </w:r>
    </w:p>
    <w:p w14:paraId="0768F4CE">
      <w:pPr>
        <w:pStyle w:val="7"/>
        <w:spacing w:before="0" w:beforeAutospacing="0" w:after="0" w:afterAutospacing="0" w:line="44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公司根据薪酬管理原则，实行职能、贡献层级制的薪酬机制，将人员分为管理人员、技术人员、员工三类，以类型确定年薪制或者月薪制，每类又分为不同等级。等级薪酬标准综合考虑同行业薪酬水平、公司薪酬实际情况及预算、消费者物价指数以及本地消费水平等因素设定，薪酬政策由高层领导负责制定，薪酬实施由人力资源部牵头负责。</w:t>
      </w:r>
    </w:p>
    <w:p w14:paraId="6468315B">
      <w:pPr>
        <w:pStyle w:val="7"/>
        <w:spacing w:before="0" w:beforeAutospacing="0" w:after="0" w:afterAutospacing="0" w:line="440" w:lineRule="exact"/>
        <w:ind w:firstLine="480"/>
        <w:textAlignment w:val="baseline"/>
        <w:rPr>
          <w:rFonts w:hint="eastAsia" w:ascii="宋体" w:hAnsi="宋体" w:eastAsia="宋体" w:cs="宋体"/>
          <w:sz w:val="24"/>
          <w:szCs w:val="24"/>
        </w:rPr>
      </w:pPr>
      <w:r>
        <w:rPr>
          <w:rFonts w:hint="eastAsia" w:ascii="宋体" w:hAnsi="宋体" w:eastAsia="宋体" w:cs="宋体"/>
          <w:sz w:val="24"/>
          <w:szCs w:val="24"/>
        </w:rPr>
        <w:t>薪酬由固定工资、绩效工资和福利构成。员工薪酬中固定工资和绩效工资两项总额及比例根据员工所处岗位类型和等级确定。年薪人员依据薪酬因素评价准则进行评价，该准则包括工作责任评价要素、知识技能评价要素、工作强度评价要素、工作环境评价要素四块，量化评价并分别加权得出分数，根据所处范围确定该员工在此岗位中所处的薪酬等级，然后根据公式考虑绩效因素确定总工资。月薪人员主要依据学历和岗位工作经验定薪，并用公式得出员工薪酬。</w:t>
      </w:r>
    </w:p>
    <w:p w14:paraId="788B27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宋体" w:hAnsi="宋体" w:eastAsia="宋体" w:cs="宋体"/>
          <w:bCs/>
          <w:kern w:val="0"/>
          <w:sz w:val="24"/>
          <w:szCs w:val="24"/>
        </w:rPr>
      </w:pPr>
      <w:r>
        <w:rPr>
          <w:rFonts w:hint="eastAsia" w:ascii="宋体" w:hAnsi="宋体" w:eastAsia="宋体" w:cs="宋体"/>
          <w:bCs/>
          <w:kern w:val="0"/>
          <w:sz w:val="24"/>
          <w:szCs w:val="24"/>
        </w:rPr>
        <w:t>3.4 员工的学习与发展</w:t>
      </w:r>
    </w:p>
    <w:p w14:paraId="231AF5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rPr>
          <w:rFonts w:hint="eastAsia" w:ascii="宋体" w:hAnsi="宋体" w:eastAsia="宋体" w:cs="宋体"/>
          <w:kern w:val="0"/>
          <w:sz w:val="24"/>
          <w:szCs w:val="24"/>
        </w:rPr>
      </w:pPr>
      <w:r>
        <w:rPr>
          <w:rFonts w:hint="eastAsia" w:ascii="宋体" w:hAnsi="宋体" w:eastAsia="宋体" w:cs="宋体"/>
          <w:kern w:val="0"/>
          <w:sz w:val="24"/>
          <w:szCs w:val="24"/>
        </w:rPr>
        <w:t>3.4.1 员工的教育和培训</w:t>
      </w:r>
    </w:p>
    <w:p w14:paraId="5C8272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firstLine="480" w:firstLineChars="200"/>
        <w:rPr>
          <w:rFonts w:hint="eastAsia" w:ascii="宋体" w:hAnsi="宋体" w:eastAsia="宋体" w:cs="宋体"/>
          <w:bCs/>
          <w:kern w:val="0"/>
          <w:sz w:val="24"/>
          <w:szCs w:val="24"/>
        </w:rPr>
      </w:pPr>
      <w:r>
        <w:rPr>
          <w:rFonts w:hint="eastAsia" w:ascii="宋体" w:hAnsi="宋体" w:eastAsia="宋体" w:cs="宋体"/>
          <w:sz w:val="24"/>
          <w:szCs w:val="24"/>
        </w:rPr>
        <w:t>a) 识别培训需求</w:t>
      </w:r>
    </w:p>
    <w:p w14:paraId="3165CA64">
      <w:pPr>
        <w:pStyle w:val="7"/>
        <w:spacing w:before="0" w:beforeAutospacing="0" w:after="0" w:afterAutospacing="0" w:line="440" w:lineRule="exact"/>
        <w:ind w:firstLine="480"/>
        <w:rPr>
          <w:rFonts w:hint="eastAsia" w:ascii="宋体" w:hAnsi="宋体" w:eastAsia="宋体" w:cs="宋体"/>
          <w:sz w:val="24"/>
          <w:szCs w:val="24"/>
        </w:rPr>
      </w:pPr>
      <w:r>
        <w:rPr>
          <w:rFonts w:hint="eastAsia" w:ascii="宋体" w:hAnsi="宋体" w:eastAsia="宋体" w:cs="宋体"/>
          <w:sz w:val="24"/>
          <w:szCs w:val="24"/>
        </w:rPr>
        <w:t>随着公司的高速发展，对员工的培训、教育变得更加重要。公司人力资源部结合人力资源规划、部门主管对员工的培训需求分析以及员工自身的兴趣和能力设置个性化的培训计划。每年年底，对各部门下发《培训需求调查表》，该表主要由公共管理课程选择以及其他培训内容申请两份组成，公共管理培训课程的主要形式有外训或外聘培训，主要是委托第三方进行培训。此外，新员工培训计划由人力资源部制定，将三类培训需求汇总以后，根据上一年的培训情况对于课程进行一定的调整，此外，最后形成《年度培训计划》。</w:t>
      </w:r>
    </w:p>
    <w:p w14:paraId="0DC87231">
      <w:pPr>
        <w:pStyle w:val="7"/>
        <w:spacing w:before="0" w:beforeAutospacing="0" w:after="0" w:afterAutospacing="0" w:line="440" w:lineRule="exact"/>
        <w:ind w:firstLine="470" w:firstLineChars="196"/>
        <w:textAlignment w:val="baseline"/>
        <w:outlineLvl w:val="4"/>
        <w:rPr>
          <w:rFonts w:hint="eastAsia" w:ascii="宋体" w:hAnsi="宋体" w:eastAsia="宋体" w:cs="宋体"/>
          <w:sz w:val="24"/>
          <w:szCs w:val="24"/>
        </w:rPr>
      </w:pPr>
      <w:r>
        <w:rPr>
          <w:rFonts w:hint="eastAsia" w:ascii="宋体" w:hAnsi="宋体" w:eastAsia="宋体" w:cs="宋体"/>
          <w:sz w:val="24"/>
          <w:szCs w:val="24"/>
        </w:rPr>
        <w:t>b) 科学制定培训计划</w:t>
      </w:r>
    </w:p>
    <w:p w14:paraId="1B22A3C7">
      <w:pPr>
        <w:pStyle w:val="7"/>
        <w:spacing w:before="0" w:beforeAutospacing="0" w:after="0" w:afterAutospacing="0" w:line="440" w:lineRule="exact"/>
        <w:ind w:firstLine="480"/>
        <w:textAlignment w:val="baseline"/>
        <w:outlineLvl w:val="4"/>
        <w:rPr>
          <w:rFonts w:hint="eastAsia" w:ascii="宋体" w:hAnsi="宋体" w:eastAsia="宋体" w:cs="宋体"/>
          <w:sz w:val="24"/>
          <w:szCs w:val="24"/>
        </w:rPr>
      </w:pPr>
      <w:r>
        <w:rPr>
          <w:rFonts w:hint="eastAsia" w:ascii="宋体" w:hAnsi="宋体" w:eastAsia="宋体" w:cs="宋体"/>
          <w:sz w:val="24"/>
          <w:szCs w:val="24"/>
        </w:rPr>
        <w:t>人力资源部负责公司《年度培训计划》的制定及组织实施。根据员工类型来分，新员工培训包括公司基础教育，部门基础教育，岗位技能培训等，具备科学的定岗培训流程；转岗人员培训包括部门基础教育和岗位技能培训；在岗人员每年至少进行一次全面的岗位技能培训和考核；特殊作业人员培训中，特殊、关键工序和关键测量过程操作人员的培训由所在岗位技术负责人负责培训，合格后持证上岗；重大环境影响和重大风险岗位由所在岗位的部门负责人进行培训，培训后考核合格后上岗；工程技术人员及管理人员培训一般邀请外部专家来企业授课或外派这些人员进行学习。</w:t>
      </w:r>
    </w:p>
    <w:p w14:paraId="534E0D22">
      <w:pPr>
        <w:pStyle w:val="7"/>
        <w:spacing w:before="0" w:beforeAutospacing="0" w:after="0" w:afterAutospacing="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c)确定培训流程</w:t>
      </w:r>
    </w:p>
    <w:p w14:paraId="2799418A">
      <w:pPr>
        <w:pStyle w:val="7"/>
        <w:spacing w:before="0" w:beforeAutospacing="0" w:after="0" w:afterAutospacing="0" w:line="440" w:lineRule="exact"/>
        <w:ind w:firstLine="470" w:firstLineChars="196"/>
        <w:textAlignment w:val="baseline"/>
        <w:rPr>
          <w:rFonts w:hint="eastAsia" w:ascii="宋体" w:hAnsi="宋体" w:eastAsia="宋体" w:cs="宋体"/>
          <w:sz w:val="24"/>
          <w:szCs w:val="24"/>
        </w:rPr>
      </w:pPr>
      <w:r>
        <w:rPr>
          <w:rFonts w:hint="eastAsia" w:ascii="宋体" w:hAnsi="宋体" w:eastAsia="宋体" w:cs="宋体"/>
          <w:sz w:val="24"/>
          <w:szCs w:val="24"/>
        </w:rPr>
        <w:t>公司的培训体系与战略规划和经营目标相联系，构建了完善的培训流程，明确了培训系统的运作环节，为培训的有效实施提供指引。</w:t>
      </w:r>
    </w:p>
    <w:p w14:paraId="1925EEEB">
      <w:pPr>
        <w:pStyle w:val="7"/>
        <w:spacing w:before="0" w:beforeAutospacing="0" w:after="0" w:afterAutospacing="0" w:line="440" w:lineRule="exact"/>
        <w:ind w:firstLine="470" w:firstLineChars="196"/>
        <w:textAlignment w:val="baseline"/>
        <w:outlineLvl w:val="4"/>
        <w:rPr>
          <w:rFonts w:hint="eastAsia" w:ascii="宋体" w:hAnsi="宋体" w:eastAsia="宋体" w:cs="宋体"/>
          <w:sz w:val="24"/>
          <w:szCs w:val="24"/>
        </w:rPr>
      </w:pPr>
      <w:r>
        <w:rPr>
          <w:rFonts w:hint="eastAsia" w:ascii="宋体" w:hAnsi="宋体" w:eastAsia="宋体" w:cs="宋体"/>
          <w:sz w:val="24"/>
          <w:szCs w:val="24"/>
        </w:rPr>
        <w:t>d) 实施培训的支撑</w:t>
      </w:r>
    </w:p>
    <w:p w14:paraId="55A15856">
      <w:pPr>
        <w:pStyle w:val="7"/>
        <w:spacing w:before="0" w:beforeAutospacing="0" w:after="0" w:afterAutospacing="0" w:line="440" w:lineRule="exact"/>
        <w:ind w:firstLine="470" w:firstLineChars="196"/>
        <w:textAlignment w:val="baseline"/>
        <w:outlineLvl w:val="4"/>
        <w:rPr>
          <w:rFonts w:hint="eastAsia" w:ascii="宋体" w:hAnsi="宋体" w:eastAsia="宋体" w:cs="宋体"/>
          <w:sz w:val="24"/>
          <w:szCs w:val="24"/>
        </w:rPr>
      </w:pPr>
      <w:r>
        <w:rPr>
          <w:rFonts w:hint="eastAsia" w:ascii="宋体" w:hAnsi="宋体" w:eastAsia="宋体" w:cs="宋体"/>
          <w:sz w:val="24"/>
          <w:szCs w:val="24"/>
        </w:rPr>
        <w:t>◆内部培训资源：截止至2024年底，公司</w:t>
      </w:r>
      <w:r>
        <w:rPr>
          <w:rFonts w:hint="eastAsia" w:cs="宋体"/>
          <w:sz w:val="24"/>
          <w:szCs w:val="24"/>
          <w:lang w:val="en-US" w:eastAsia="zh-CN"/>
        </w:rPr>
        <w:t>(浙江本部）</w:t>
      </w:r>
      <w:r>
        <w:rPr>
          <w:rFonts w:hint="eastAsia" w:ascii="宋体" w:hAnsi="宋体" w:eastAsia="宋体" w:cs="宋体"/>
          <w:sz w:val="24"/>
          <w:szCs w:val="24"/>
        </w:rPr>
        <w:t>内部讲师成员共40人，内部培训共有130多种课程，每年按照需求开设一定数量的课程。</w:t>
      </w:r>
    </w:p>
    <w:p w14:paraId="75B68C76">
      <w:pPr>
        <w:pStyle w:val="7"/>
        <w:spacing w:before="0" w:beforeAutospacing="0" w:after="0" w:afterAutospacing="0" w:line="440" w:lineRule="exact"/>
        <w:ind w:firstLine="470" w:firstLineChars="196"/>
        <w:textAlignment w:val="baseline"/>
        <w:outlineLvl w:val="4"/>
        <w:rPr>
          <w:rFonts w:hint="eastAsia" w:ascii="宋体" w:hAnsi="宋体" w:eastAsia="宋体" w:cs="宋体"/>
          <w:sz w:val="24"/>
          <w:szCs w:val="24"/>
        </w:rPr>
      </w:pPr>
      <w:r>
        <w:rPr>
          <w:rFonts w:hint="eastAsia" w:ascii="宋体" w:hAnsi="宋体" w:eastAsia="宋体" w:cs="宋体"/>
          <w:sz w:val="24"/>
          <w:szCs w:val="24"/>
        </w:rPr>
        <w:t>◆培训经费投入：2024年总投入培训经费32.1万（</w:t>
      </w:r>
      <w:r>
        <w:rPr>
          <w:rFonts w:hint="eastAsia" w:cs="宋体"/>
          <w:sz w:val="24"/>
          <w:szCs w:val="24"/>
          <w:lang w:eastAsia="zh-CN"/>
        </w:rPr>
        <w:t>浙江本部</w:t>
      </w:r>
      <w:r>
        <w:rPr>
          <w:rFonts w:hint="eastAsia" w:ascii="宋体" w:hAnsi="宋体" w:eastAsia="宋体" w:cs="宋体"/>
          <w:sz w:val="24"/>
          <w:szCs w:val="24"/>
        </w:rPr>
        <w:t>），平均每人接受培训90小时。帮助员工提升专业技能与综合素养，夯实岗位胜任力，以更好地适应公司战略发展需求；同时助力员工拓展职业发展路径，增强岗位竞争力与职业归属感，通过系统性的内外部培训资源整合，形成“以训促学、以学促干”的良性循环，最终实现个人成长与企业发展的协同共进。</w:t>
      </w:r>
    </w:p>
    <w:p w14:paraId="04A203DB">
      <w:pPr>
        <w:pStyle w:val="7"/>
        <w:spacing w:before="0" w:beforeAutospacing="0" w:after="0" w:afterAutospacing="0" w:line="440" w:lineRule="exact"/>
        <w:ind w:firstLine="470" w:firstLineChars="196"/>
        <w:textAlignment w:val="baseline"/>
        <w:outlineLvl w:val="4"/>
        <w:rPr>
          <w:rFonts w:hint="eastAsia" w:ascii="宋体" w:hAnsi="宋体" w:eastAsia="宋体" w:cs="宋体"/>
          <w:sz w:val="24"/>
          <w:szCs w:val="24"/>
        </w:rPr>
      </w:pPr>
      <w:r>
        <w:rPr>
          <w:rFonts w:hint="eastAsia" w:ascii="宋体" w:hAnsi="宋体" w:eastAsia="宋体" w:cs="宋体"/>
          <w:sz w:val="24"/>
          <w:szCs w:val="24"/>
        </w:rPr>
        <w:t>e）评估和考核培训效果</w:t>
      </w:r>
    </w:p>
    <w:p w14:paraId="44BED2CC">
      <w:pPr>
        <w:pStyle w:val="7"/>
        <w:spacing w:before="0" w:beforeAutospacing="0" w:after="0" w:afterAutospacing="0" w:line="440" w:lineRule="exact"/>
        <w:ind w:firstLine="480"/>
        <w:rPr>
          <w:rFonts w:hint="eastAsia" w:ascii="宋体" w:hAnsi="宋体" w:eastAsia="宋体" w:cs="宋体"/>
          <w:sz w:val="24"/>
          <w:szCs w:val="24"/>
        </w:rPr>
      </w:pPr>
      <w:r>
        <w:rPr>
          <w:rFonts w:hint="eastAsia" w:ascii="宋体" w:hAnsi="宋体" w:eastAsia="宋体" w:cs="宋体"/>
          <w:sz w:val="24"/>
          <w:szCs w:val="24"/>
        </w:rPr>
        <w:t>人力资源部定期组织公司负责人及员工代表等召开年度培训工作会议，评价培训有效性。对于公司新进人员，采取系统的定岗培训及评价流程，力求能够引进适应公司文化、学习能力强的人才，并迅速发挥其才能。此外，还通过理论考核、操作考核、业绩评价、观察等方法进行培训效果评价。</w:t>
      </w:r>
    </w:p>
    <w:p w14:paraId="24F41B1C">
      <w:pPr>
        <w:pStyle w:val="7"/>
        <w:spacing w:before="0" w:beforeAutospacing="0" w:after="0" w:afterAutospacing="0" w:line="440" w:lineRule="exact"/>
        <w:ind w:firstLine="480"/>
        <w:rPr>
          <w:rFonts w:hint="eastAsia" w:ascii="宋体" w:hAnsi="宋体" w:eastAsia="宋体" w:cs="宋体"/>
          <w:sz w:val="24"/>
          <w:szCs w:val="24"/>
        </w:rPr>
      </w:pPr>
      <w:r>
        <w:rPr>
          <w:rFonts w:hint="eastAsia" w:ascii="宋体" w:hAnsi="宋体" w:eastAsia="宋体" w:cs="宋体"/>
          <w:sz w:val="24"/>
          <w:szCs w:val="24"/>
        </w:rPr>
        <w:t>培训记录将会记入个人档案，通过对个人档案的调用，可以进一步明确员工所培训的项目以及员工目前所处的水平，以作为考核、晋升的依据。</w:t>
      </w:r>
    </w:p>
    <w:p w14:paraId="7E58E052">
      <w:pPr>
        <w:autoSpaceDE w:val="0"/>
        <w:autoSpaceDN w:val="0"/>
        <w:adjustRightInd w:val="0"/>
        <w:spacing w:line="440" w:lineRule="exact"/>
        <w:jc w:val="left"/>
        <w:rPr>
          <w:rFonts w:hint="eastAsia" w:ascii="宋体" w:hAnsi="宋体" w:eastAsia="宋体" w:cs="宋体"/>
          <w:kern w:val="0"/>
          <w:sz w:val="24"/>
          <w:szCs w:val="24"/>
        </w:rPr>
      </w:pPr>
      <w:r>
        <w:rPr>
          <w:rFonts w:hint="eastAsia" w:ascii="宋体" w:hAnsi="宋体" w:eastAsia="宋体" w:cs="宋体"/>
          <w:bCs/>
          <w:kern w:val="0"/>
          <w:sz w:val="24"/>
          <w:szCs w:val="24"/>
        </w:rPr>
        <w:t>3.4.2 员工的职业发展</w:t>
      </w:r>
    </w:p>
    <w:p w14:paraId="483F4AC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公司建立阶梯式的人才培养机制、多渠道的发展通道，为员工提供顺畅的发展空间。</w:t>
      </w:r>
    </w:p>
    <w:p w14:paraId="2538DE9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 推拉结合，发挥员工潜能和主动性</w:t>
      </w:r>
    </w:p>
    <w:p w14:paraId="58AF89AD">
      <w:pPr>
        <w:spacing w:line="44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推：公司建立员工竞争上岗和退出机制，给员工绩效和能力提升加压，不进则退。如绩效和能力达不到要求的，采取调换岗位，转岗培训或取消技能工资等措施，促使员工不断学习，主动发挥。</w:t>
      </w:r>
    </w:p>
    <w:p w14:paraId="2B6AAA7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拉：公司建立了以员工评价体系为基础的全方位的薪酬激励体系</w:t>
      </w:r>
    </w:p>
    <w:p w14:paraId="353F673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明确岗位职责，充分授权，引导员工自主地创造性开展工作，充分发挥员工的潜能。</w:t>
      </w:r>
    </w:p>
    <w:p w14:paraId="4B29D2A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 建立多渠道的人才培养制度，提供员工学习与发展空间</w:t>
      </w:r>
    </w:p>
    <w:p w14:paraId="650769C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公司建立多渠道、分层次的人才培养制度，为员工的学习与成长创造机会。                                                    </w:t>
      </w:r>
    </w:p>
    <w:p w14:paraId="4E999C55">
      <w:pPr>
        <w:spacing w:line="44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c）职业生涯规划和发展平台</w:t>
      </w:r>
    </w:p>
    <w:p w14:paraId="6ED9B2E8">
      <w:pPr>
        <w:spacing w:line="440" w:lineRule="exact"/>
        <w:ind w:firstLine="480" w:firstLineChars="200"/>
        <w:rPr>
          <w:rFonts w:hint="eastAsia" w:ascii="宋体" w:hAnsi="宋体" w:eastAsia="宋体" w:cs="宋体"/>
          <w:position w:val="-36"/>
          <w:sz w:val="24"/>
          <w:szCs w:val="24"/>
        </w:rPr>
      </w:pPr>
      <w:r>
        <w:rPr>
          <w:rFonts w:hint="eastAsia" w:ascii="宋体" w:hAnsi="宋体" w:eastAsia="宋体" w:cs="宋体"/>
          <w:sz w:val="24"/>
          <w:szCs w:val="24"/>
        </w:rPr>
        <w:t xml:space="preserve"> 为实现公司战略目标与员工职业价值双赢，公司对包括高层领导在内的所有员工进行职业生涯发展规划与设计工作，共同制订员工的职业生涯发展目标与行动计划，并提供相应的支持。</w:t>
      </w:r>
    </w:p>
    <w:p w14:paraId="3387550E">
      <w:pPr>
        <w:spacing w:line="440" w:lineRule="exact"/>
        <w:rPr>
          <w:rFonts w:hint="eastAsia" w:ascii="宋体" w:hAnsi="宋体" w:eastAsia="宋体" w:cs="宋体"/>
          <w:bCs/>
          <w:kern w:val="0"/>
          <w:sz w:val="24"/>
          <w:szCs w:val="24"/>
        </w:rPr>
      </w:pPr>
      <w:r>
        <w:rPr>
          <w:rFonts w:hint="eastAsia" w:ascii="宋体" w:hAnsi="宋体" w:eastAsia="宋体" w:cs="宋体"/>
          <w:bCs/>
          <w:kern w:val="0"/>
          <w:sz w:val="24"/>
          <w:szCs w:val="24"/>
        </w:rPr>
        <w:t>3.5 员工的权益与满意程度</w:t>
      </w:r>
    </w:p>
    <w:p w14:paraId="5E33423F">
      <w:pPr>
        <w:spacing w:line="440" w:lineRule="exact"/>
        <w:rPr>
          <w:rFonts w:hint="eastAsia" w:ascii="宋体" w:hAnsi="宋体" w:eastAsia="宋体" w:cs="宋体"/>
          <w:sz w:val="24"/>
          <w:szCs w:val="24"/>
        </w:rPr>
      </w:pPr>
      <w:r>
        <w:rPr>
          <w:rFonts w:hint="eastAsia" w:ascii="宋体" w:hAnsi="宋体" w:eastAsia="宋体" w:cs="宋体"/>
          <w:bCs/>
          <w:kern w:val="0"/>
          <w:sz w:val="24"/>
          <w:szCs w:val="24"/>
        </w:rPr>
        <w:t>3.5.1 员工权益</w:t>
      </w:r>
    </w:p>
    <w:p w14:paraId="3B04E96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公司营造良好的工作环境和氛围，根据不同需求，提供个性化支持，提高全员参与的积极性和满意度。</w:t>
      </w:r>
    </w:p>
    <w:p w14:paraId="79384416">
      <w:pPr>
        <w:spacing w:line="440" w:lineRule="exact"/>
        <w:rPr>
          <w:rFonts w:hint="eastAsia" w:ascii="宋体" w:hAnsi="宋体" w:eastAsia="宋体" w:cs="宋体"/>
          <w:sz w:val="24"/>
          <w:szCs w:val="24"/>
        </w:rPr>
      </w:pPr>
      <w:r>
        <w:rPr>
          <w:rFonts w:hint="eastAsia" w:ascii="宋体" w:hAnsi="宋体" w:eastAsia="宋体" w:cs="宋体"/>
          <w:bCs/>
          <w:sz w:val="24"/>
          <w:szCs w:val="24"/>
        </w:rPr>
        <w:t>a) 依法管理、创建舒适的工作环境</w:t>
      </w:r>
    </w:p>
    <w:p w14:paraId="7AFA855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公司严格执行国家的《劳动法》、《安全生产法》、《职业病防治法》等劳动、安全生产法律法规，通过安全生产标准化</w:t>
      </w:r>
      <w:r>
        <w:rPr>
          <w:rFonts w:hint="eastAsia" w:ascii="宋体" w:hAnsi="宋体" w:eastAsia="宋体" w:cs="宋体"/>
          <w:kern w:val="0"/>
          <w:sz w:val="24"/>
          <w:szCs w:val="24"/>
        </w:rPr>
        <w:t>，</w:t>
      </w:r>
      <w:r>
        <w:rPr>
          <w:rFonts w:hint="eastAsia" w:ascii="宋体" w:hAnsi="宋体" w:eastAsia="宋体" w:cs="宋体"/>
          <w:sz w:val="24"/>
          <w:szCs w:val="24"/>
        </w:rPr>
        <w:t>不断改善员工工作环境中的安全条件。</w:t>
      </w:r>
    </w:p>
    <w:p w14:paraId="63B115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公司制订</w:t>
      </w:r>
      <w:r>
        <w:rPr>
          <w:rFonts w:hint="eastAsia" w:ascii="宋体" w:hAnsi="宋体" w:eastAsia="宋体" w:cs="宋体"/>
          <w:kern w:val="0"/>
          <w:sz w:val="24"/>
          <w:szCs w:val="24"/>
        </w:rPr>
        <w:t>并实施安全生产标准化，制订了</w:t>
      </w:r>
      <w:r>
        <w:rPr>
          <w:rFonts w:hint="eastAsia" w:ascii="宋体" w:hAnsi="宋体" w:eastAsia="宋体" w:cs="宋体"/>
          <w:sz w:val="24"/>
          <w:szCs w:val="24"/>
        </w:rPr>
        <w:t>事故处理控制程序等相关制度，帮助组织与员工识别安全生产注意事项，群策群防，确保</w:t>
      </w:r>
      <w:r>
        <w:rPr>
          <w:rFonts w:hint="eastAsia" w:ascii="宋体" w:hAnsi="宋体" w:eastAsia="宋体" w:cs="宋体"/>
          <w:kern w:val="0"/>
          <w:sz w:val="24"/>
          <w:szCs w:val="24"/>
        </w:rPr>
        <w:t>安全生产标准化体系要求能够有效运行</w:t>
      </w: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r>
        <w:rPr>
          <w:rFonts w:hint="eastAsia" w:ascii="宋体" w:hAnsi="宋体" w:eastAsia="宋体" w:cs="宋体"/>
          <w:sz w:val="24"/>
          <w:szCs w:val="24"/>
        </w:rPr>
        <w:t>b)应急预案</w:t>
      </w:r>
    </w:p>
    <w:p w14:paraId="6BAB6E2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通过制订各种应急预案，对相关人员进行相应的培训，每年不定期进行应急预案演习，并作演习效果评估，对演习中存在的问题进行改进，提高组织的应急能力及员工处理各种紧急情况的能力。</w:t>
      </w:r>
    </w:p>
    <w:p w14:paraId="6C93EFCD">
      <w:pPr>
        <w:spacing w:line="44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c) 应急充分，确保经营的连续性</w:t>
      </w:r>
    </w:p>
    <w:p w14:paraId="1FFA0C4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确保公司生产经营的连续性，公司组建各种应急小组、建立小组成员全天候24小时待命的快速反应机制，配备应急设备如照明设备、消防设备、通讯设备、医疗设备及医务人员，在可能发生的危险情况和紧急状态如火灾、台风、断电等时，迅速起动相应的应急预案，充分发挥应急小组的指挥作用，制订技术保障、物资准备措施，保障员工的利益及避免因事故造成停产，满足顾客对产品及时供给的需求。</w:t>
      </w:r>
    </w:p>
    <w:p w14:paraId="5E645FE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与核心供应商建立战略合作伙伴关系，与主要供应商、一般供应商建立长期合作关系的同时，通过评审选择一般供应商和临时供应商作为备选供应商，稳定供应链持续有效运作，确保公司生产经营的连续性，保障顾客的利益。</w:t>
      </w:r>
    </w:p>
    <w:p w14:paraId="158BB3CA">
      <w:pPr>
        <w:spacing w:line="44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d) 整合</w:t>
      </w:r>
      <w:r>
        <w:rPr>
          <w:rFonts w:hint="eastAsia" w:ascii="宋体" w:hAnsi="宋体" w:eastAsia="宋体" w:cs="宋体"/>
          <w:sz w:val="24"/>
          <w:szCs w:val="24"/>
        </w:rPr>
        <w:t>群众性质量管理活动，创造参与平台</w:t>
      </w:r>
    </w:p>
    <w:p w14:paraId="398F90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公司营造员工积极参与群众性质量管理活动的机制，并基于卓越模式，把QC小组、合理化建议、5S活动整合为卓越班组活动，为员工的质量管理活动提供平台</w:t>
      </w:r>
      <w:r>
        <w:rPr>
          <w:rFonts w:hint="eastAsia" w:ascii="宋体" w:hAnsi="宋体" w:eastAsia="宋体" w:cs="宋体"/>
          <w:kern w:val="0"/>
          <w:sz w:val="24"/>
          <w:szCs w:val="24"/>
        </w:rPr>
        <w:t>，</w:t>
      </w:r>
      <w:r>
        <w:rPr>
          <w:rFonts w:hint="eastAsia" w:ascii="宋体" w:hAnsi="宋体" w:eastAsia="宋体" w:cs="宋体"/>
          <w:sz w:val="24"/>
          <w:szCs w:val="24"/>
        </w:rPr>
        <w:t>提供活动所需的资源支持，并通过对活动成果评定、认可和激励，调动员工参与质量管理活动的积极性。</w:t>
      </w:r>
    </w:p>
    <w:p w14:paraId="68FF1F93">
      <w:pPr>
        <w:adjustRightInd w:val="0"/>
        <w:snapToGrid w:val="0"/>
        <w:spacing w:line="440" w:lineRule="exact"/>
        <w:rPr>
          <w:rFonts w:hint="eastAsia" w:ascii="宋体" w:hAnsi="宋体" w:eastAsia="宋体" w:cs="宋体"/>
          <w:sz w:val="24"/>
          <w:szCs w:val="24"/>
        </w:rPr>
      </w:pPr>
      <w:r>
        <w:rPr>
          <w:rFonts w:hint="eastAsia" w:ascii="宋体" w:hAnsi="宋体" w:eastAsia="宋体" w:cs="宋体"/>
          <w:bCs/>
          <w:kern w:val="0"/>
          <w:sz w:val="24"/>
          <w:szCs w:val="24"/>
        </w:rPr>
        <w:t>3.5.2 员工满意程度</w:t>
      </w:r>
    </w:p>
    <w:p w14:paraId="5A24879F">
      <w:pPr>
        <w:adjustRightInd w:val="0"/>
        <w:snapToGrid w:val="0"/>
        <w:spacing w:line="440" w:lineRule="exact"/>
        <w:ind w:firstLine="482"/>
        <w:rPr>
          <w:rFonts w:hint="eastAsia" w:ascii="宋体" w:hAnsi="宋体" w:eastAsia="宋体" w:cs="宋体"/>
          <w:sz w:val="24"/>
          <w:szCs w:val="24"/>
        </w:rPr>
      </w:pPr>
      <w:r>
        <w:rPr>
          <w:rFonts w:hint="eastAsia" w:ascii="宋体" w:hAnsi="宋体" w:eastAsia="宋体" w:cs="宋体"/>
          <w:sz w:val="24"/>
          <w:szCs w:val="24"/>
        </w:rPr>
        <w:t>a)确定影响员工权益、满意度和积极性的关键因素</w:t>
      </w:r>
    </w:p>
    <w:p w14:paraId="277FBA6F">
      <w:pPr>
        <w:pStyle w:val="4"/>
        <w:spacing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公司高层领导始终坚持“以人为本”的管理理念，通过半年度、年度述职报告，绩效面谈和满意度调查的渠道听取和采纳员工建议，并分析、评估、确定影响员工权益、满意度和积极性的影响因素。</w:t>
      </w:r>
    </w:p>
    <w:p w14:paraId="3E038271">
      <w:pPr>
        <w:pStyle w:val="4"/>
        <w:spacing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rPr>
        <w:t>b）针对员工的个性化需求，提供个性化支持</w:t>
      </w:r>
    </w:p>
    <w:p w14:paraId="381BE0AD">
      <w:pPr>
        <w:adjustRightInd w:val="0"/>
        <w:snapToGrid w:val="0"/>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公司以人为本，根据不同员工的不同需求，制定了各种保障措施，有针对地提供个性化支持。</w:t>
      </w:r>
    </w:p>
    <w:p w14:paraId="63F6B3C4">
      <w:pPr>
        <w:spacing w:line="440" w:lineRule="exact"/>
        <w:ind w:firstLine="470" w:firstLineChars="196"/>
        <w:rPr>
          <w:rFonts w:hint="eastAsia" w:ascii="宋体" w:hAnsi="宋体" w:eastAsia="宋体" w:cs="宋体"/>
          <w:sz w:val="24"/>
          <w:szCs w:val="24"/>
        </w:rPr>
      </w:pPr>
      <w:r>
        <w:rPr>
          <w:rFonts w:hint="eastAsia" w:ascii="宋体" w:hAnsi="宋体" w:eastAsia="宋体" w:cs="宋体"/>
          <w:bCs/>
          <w:kern w:val="0"/>
          <w:sz w:val="24"/>
          <w:szCs w:val="24"/>
        </w:rPr>
        <w:t>c) 对员工满意指数进行测评，及时改进工作</w:t>
      </w:r>
    </w:p>
    <w:p w14:paraId="056DC956">
      <w:pPr>
        <w:pStyle w:val="7"/>
        <w:spacing w:before="0" w:beforeAutospacing="0" w:after="0" w:afterAutospacing="0" w:line="440" w:lineRule="exact"/>
        <w:ind w:firstLine="480"/>
        <w:rPr>
          <w:rStyle w:val="10"/>
          <w:rFonts w:hint="eastAsia" w:ascii="宋体" w:hAnsi="宋体" w:eastAsia="宋体" w:cs="宋体"/>
          <w:b w:val="0"/>
          <w:sz w:val="24"/>
          <w:szCs w:val="24"/>
        </w:rPr>
      </w:pPr>
      <w:r>
        <w:rPr>
          <w:rFonts w:hint="eastAsia" w:ascii="宋体" w:hAnsi="宋体" w:eastAsia="宋体" w:cs="宋体"/>
          <w:sz w:val="24"/>
          <w:szCs w:val="24"/>
        </w:rPr>
        <w:t>公司坚持每年都通过访谈调查和问卷调查对员工满意度进行调查，主要指标包括</w:t>
      </w:r>
      <w:r>
        <w:rPr>
          <w:rStyle w:val="10"/>
          <w:rFonts w:hint="eastAsia" w:ascii="宋体" w:hAnsi="宋体" w:eastAsia="宋体" w:cs="宋体"/>
          <w:b w:val="0"/>
          <w:sz w:val="24"/>
          <w:szCs w:val="24"/>
        </w:rPr>
        <w:t>对工作条件的满意度，对工作本身的满意度，对工作回报的满意程度，对公司人际关系的满意度和对公司整体的满意度。</w:t>
      </w:r>
    </w:p>
    <w:p w14:paraId="680AC473">
      <w:pPr>
        <w:pStyle w:val="7"/>
        <w:spacing w:before="0" w:beforeAutospacing="0" w:after="0" w:afterAutospacing="0" w:line="440" w:lineRule="exact"/>
        <w:ind w:firstLine="480"/>
        <w:rPr>
          <w:rStyle w:val="10"/>
          <w:rFonts w:hint="eastAsia" w:ascii="宋体" w:hAnsi="宋体" w:eastAsia="宋体" w:cs="宋体"/>
          <w:b w:val="0"/>
          <w:sz w:val="24"/>
          <w:szCs w:val="24"/>
        </w:rPr>
      </w:pPr>
      <w:r>
        <w:rPr>
          <w:rStyle w:val="10"/>
          <w:rFonts w:hint="eastAsia" w:ascii="宋体" w:hAnsi="宋体" w:eastAsia="宋体" w:cs="宋体"/>
          <w:b w:val="0"/>
          <w:sz w:val="24"/>
          <w:szCs w:val="24"/>
        </w:rPr>
        <w:t>满意度的调查流程如下：</w:t>
      </w:r>
    </w:p>
    <w:p w14:paraId="41FD20B0">
      <w:pPr>
        <w:pStyle w:val="7"/>
        <w:tabs>
          <w:tab w:val="left" w:pos="420"/>
        </w:tabs>
        <w:spacing w:before="0" w:beforeAutospacing="0" w:after="0" w:afterAutospacing="0" w:line="440" w:lineRule="exact"/>
        <w:rPr>
          <w:rStyle w:val="10"/>
          <w:rFonts w:hint="eastAsia" w:ascii="宋体" w:hAnsi="宋体" w:eastAsia="宋体" w:cs="宋体"/>
          <w:b w:val="0"/>
          <w:bCs w:val="0"/>
          <w:sz w:val="24"/>
          <w:szCs w:val="24"/>
        </w:rPr>
      </w:pPr>
      <w:r>
        <w:rPr>
          <w:rStyle w:val="10"/>
          <w:rFonts w:hint="eastAsia" w:ascii="宋体" w:hAnsi="宋体" w:eastAsia="宋体" w:cs="宋体"/>
          <w:sz w:val="24"/>
          <w:szCs w:val="24"/>
        </w:rPr>
        <w:t xml:space="preserve"> </w:t>
      </w:r>
      <w:r>
        <w:rPr>
          <w:rStyle w:val="10"/>
          <w:rFonts w:hint="eastAsia" w:ascii="宋体" w:hAnsi="宋体" w:eastAsia="宋体" w:cs="宋体"/>
          <w:b w:val="0"/>
          <w:bCs w:val="0"/>
          <w:sz w:val="24"/>
          <w:szCs w:val="24"/>
        </w:rPr>
        <w:t xml:space="preserve">   1) 根据上一年度的《满意度调查表》及满意度调查结果对当年的满意度调查表进行修正。</w:t>
      </w:r>
    </w:p>
    <w:p w14:paraId="47B69799">
      <w:pPr>
        <w:pStyle w:val="7"/>
        <w:tabs>
          <w:tab w:val="left" w:pos="420"/>
        </w:tabs>
        <w:spacing w:before="0" w:beforeAutospacing="0" w:after="0" w:afterAutospacing="0" w:line="440" w:lineRule="exact"/>
        <w:rPr>
          <w:rStyle w:val="10"/>
          <w:rFonts w:hint="eastAsia" w:ascii="宋体" w:hAnsi="宋体" w:eastAsia="宋体" w:cs="宋体"/>
          <w:b w:val="0"/>
          <w:bCs w:val="0"/>
          <w:sz w:val="24"/>
          <w:szCs w:val="24"/>
        </w:rPr>
      </w:pPr>
      <w:r>
        <w:rPr>
          <w:rStyle w:val="10"/>
          <w:rFonts w:hint="eastAsia" w:ascii="宋体" w:hAnsi="宋体" w:eastAsia="宋体" w:cs="宋体"/>
          <w:b w:val="0"/>
          <w:bCs w:val="0"/>
          <w:sz w:val="24"/>
          <w:szCs w:val="24"/>
        </w:rPr>
        <w:t xml:space="preserve">    2) 通过钉钉系统面向全员发放问卷，设置问卷填写时间为一周，系统根据调查问卷上的基本信息及问卷的评价项目自动统计结果。</w:t>
      </w:r>
    </w:p>
    <w:p w14:paraId="5B26A244">
      <w:pPr>
        <w:pStyle w:val="7"/>
        <w:tabs>
          <w:tab w:val="left" w:pos="420"/>
        </w:tabs>
        <w:spacing w:before="0" w:beforeAutospacing="0" w:after="0" w:afterAutospacing="0" w:line="440" w:lineRule="exact"/>
        <w:rPr>
          <w:rStyle w:val="10"/>
          <w:rFonts w:hint="eastAsia" w:ascii="宋体" w:hAnsi="宋体" w:eastAsia="宋体" w:cs="宋体"/>
          <w:b w:val="0"/>
          <w:bCs w:val="0"/>
          <w:sz w:val="24"/>
          <w:szCs w:val="24"/>
        </w:rPr>
      </w:pPr>
      <w:r>
        <w:rPr>
          <w:rStyle w:val="10"/>
          <w:rFonts w:hint="eastAsia" w:ascii="宋体" w:hAnsi="宋体" w:eastAsia="宋体" w:cs="宋体"/>
          <w:b w:val="0"/>
          <w:bCs w:val="0"/>
          <w:sz w:val="24"/>
          <w:szCs w:val="24"/>
        </w:rPr>
        <w:t xml:space="preserve">    3) 对改进建议进行可行性分类，目前可以给予改进的进行改进，不可以的需要向员工解释，并制定改进计划和实施时间。</w:t>
      </w:r>
    </w:p>
    <w:p w14:paraId="0B576DC0">
      <w:pPr>
        <w:pStyle w:val="7"/>
        <w:tabs>
          <w:tab w:val="left" w:pos="420"/>
        </w:tabs>
        <w:spacing w:before="0" w:beforeAutospacing="0" w:after="0" w:afterAutospacing="0" w:line="440" w:lineRule="exact"/>
        <w:ind w:firstLine="480" w:firstLineChars="200"/>
        <w:rPr>
          <w:rStyle w:val="10"/>
          <w:rFonts w:hint="eastAsia" w:ascii="宋体" w:hAnsi="宋体" w:eastAsia="宋体" w:cs="宋体"/>
          <w:b w:val="0"/>
          <w:sz w:val="24"/>
          <w:szCs w:val="24"/>
        </w:rPr>
      </w:pPr>
      <w:r>
        <w:rPr>
          <w:rStyle w:val="10"/>
          <w:rFonts w:hint="eastAsia" w:ascii="宋体" w:hAnsi="宋体" w:eastAsia="宋体" w:cs="宋体"/>
          <w:b w:val="0"/>
          <w:sz w:val="24"/>
          <w:szCs w:val="24"/>
        </w:rPr>
        <w:t>4) 对改进建议进行可行性分类，目前可以给予改进的进行改进，不可以的需要向员工解释，并制定改进计划和实施时间。</w:t>
      </w:r>
    </w:p>
    <w:p w14:paraId="4366C016">
      <w:pPr>
        <w:tabs>
          <w:tab w:val="center" w:pos="4363"/>
        </w:tabs>
        <w:adjustRightInd w:val="0"/>
        <w:snapToGrid w:val="0"/>
        <w:spacing w:line="440" w:lineRule="exact"/>
        <w:ind w:firstLine="420"/>
        <w:rPr>
          <w:rFonts w:hint="eastAsia" w:ascii="宋体" w:hAnsi="宋体" w:eastAsia="宋体" w:cs="宋体"/>
          <w:b/>
          <w:kern w:val="0"/>
          <w:sz w:val="24"/>
          <w:szCs w:val="24"/>
        </w:rPr>
      </w:pPr>
      <w:r>
        <w:rPr>
          <w:rStyle w:val="10"/>
          <w:rFonts w:hint="eastAsia" w:ascii="宋体" w:hAnsi="宋体" w:eastAsia="宋体" w:cs="宋体"/>
          <w:b w:val="0"/>
          <w:sz w:val="24"/>
          <w:szCs w:val="24"/>
        </w:rPr>
        <w:t>5) 跟踪改进结果。</w:t>
      </w:r>
      <w:r>
        <w:rPr>
          <w:rFonts w:hint="eastAsia" w:ascii="宋体" w:hAnsi="宋体" w:eastAsia="宋体" w:cs="宋体"/>
          <w:sz w:val="24"/>
          <w:szCs w:val="24"/>
        </w:rPr>
        <w:t>调查结果显示普通员工对目前的工作环境、工作时间的安排比较满意，体现出各部门之前的沟通和合作也比较融洽，员工对自己的工作职责非常明确，对公司各级领导也都充满希望，而且大部分员工都能得到部门领导的认可和好评。</w:t>
      </w:r>
    </w:p>
    <w:p w14:paraId="250472FB">
      <w:pPr>
        <w:autoSpaceDE w:val="0"/>
        <w:autoSpaceDN w:val="0"/>
        <w:adjustRightInd w:val="0"/>
        <w:spacing w:line="440" w:lineRule="exact"/>
        <w:jc w:val="left"/>
        <w:outlineLvl w:val="0"/>
        <w:rPr>
          <w:rFonts w:hint="eastAsia" w:ascii="黑体" w:hAnsi="黑体" w:eastAsia="黑体" w:cs="黑体"/>
          <w:sz w:val="24"/>
          <w:szCs w:val="24"/>
        </w:rPr>
      </w:pPr>
      <w:r>
        <w:rPr>
          <w:rFonts w:hint="eastAsia" w:ascii="黑体" w:hAnsi="黑体" w:eastAsia="黑体" w:cs="黑体"/>
          <w:sz w:val="24"/>
          <w:szCs w:val="24"/>
        </w:rPr>
        <w:t>4、环境</w:t>
      </w:r>
    </w:p>
    <w:p w14:paraId="66BD8279">
      <w:pPr>
        <w:spacing w:line="440" w:lineRule="exact"/>
        <w:outlineLvl w:val="0"/>
        <w:rPr>
          <w:rFonts w:hint="eastAsia" w:ascii="宋体" w:hAnsi="宋体" w:eastAsia="宋体" w:cs="宋体"/>
          <w:sz w:val="24"/>
          <w:szCs w:val="24"/>
        </w:rPr>
      </w:pPr>
      <w:r>
        <w:rPr>
          <w:rFonts w:hint="eastAsia" w:ascii="宋体" w:hAnsi="宋体" w:eastAsia="宋体" w:cs="宋体"/>
          <w:sz w:val="24"/>
          <w:szCs w:val="24"/>
        </w:rPr>
        <w:t>4.1环保责任</w:t>
      </w:r>
    </w:p>
    <w:p w14:paraId="3EFF344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新化化工始终坚持“坚持污染预防、持续改进的环境理念，实施清洁生产与节能减排，积极探索绿色化工之路，做环境友好型企业。”的环境方针，充分合理地利用各种资源、能源，控制和消除污染，促进公司生产发展，创造良好工作生活环境，使公司经济活动能尽量减少对周围生态环境的污染。</w:t>
      </w:r>
    </w:p>
    <w:p w14:paraId="269098AE">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b w:val="0"/>
          <w:bCs/>
          <w:sz w:val="24"/>
          <w:szCs w:val="24"/>
        </w:rPr>
        <w:t>4.1.1</w:t>
      </w:r>
      <w:r>
        <w:rPr>
          <w:rFonts w:hint="eastAsia" w:ascii="宋体" w:hAnsi="宋体" w:eastAsia="宋体" w:cs="宋体"/>
          <w:sz w:val="24"/>
          <w:szCs w:val="24"/>
        </w:rPr>
        <w:t xml:space="preserve"> 加强体系建设，提升环保意识</w:t>
      </w:r>
    </w:p>
    <w:p w14:paraId="791C8F45">
      <w:pPr>
        <w:autoSpaceDE w:val="0"/>
        <w:autoSpaceDN w:val="0"/>
        <w:adjustRightInd w:val="0"/>
        <w:spacing w:line="440" w:lineRule="exact"/>
        <w:ind w:left="480"/>
        <w:jc w:val="left"/>
        <w:rPr>
          <w:rFonts w:hint="eastAsia" w:ascii="宋体" w:hAnsi="宋体" w:eastAsia="宋体" w:cs="宋体"/>
          <w:sz w:val="24"/>
          <w:szCs w:val="24"/>
        </w:rPr>
      </w:pPr>
      <w:r>
        <w:rPr>
          <w:rFonts w:hint="eastAsia" w:ascii="宋体" w:hAnsi="宋体" w:eastAsia="宋体" w:cs="宋体"/>
          <w:sz w:val="24"/>
          <w:szCs w:val="24"/>
        </w:rPr>
        <w:t>在以预防为主的前提下，新化化工严格贯彻和执行《环境保护法》、《水污染防治法》</w:t>
      </w:r>
    </w:p>
    <w:p w14:paraId="3D597F64">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等环保法律法规，积极开展环保知识的宣贯和培训，推行环境友好的工作方式，落实环境管理工作。</w:t>
      </w:r>
    </w:p>
    <w:p w14:paraId="62F52FED">
      <w:pPr>
        <w:autoSpaceDE w:val="0"/>
        <w:autoSpaceDN w:val="0"/>
        <w:adjustRightInd w:val="0"/>
        <w:spacing w:line="440" w:lineRule="exact"/>
        <w:ind w:left="480"/>
        <w:jc w:val="left"/>
        <w:rPr>
          <w:rFonts w:hint="eastAsia" w:ascii="宋体" w:hAnsi="宋体" w:eastAsia="宋体" w:cs="宋体"/>
          <w:sz w:val="24"/>
          <w:szCs w:val="24"/>
        </w:rPr>
      </w:pPr>
      <w:r>
        <w:rPr>
          <w:rFonts w:hint="eastAsia" w:ascii="宋体" w:hAnsi="宋体" w:eastAsia="宋体" w:cs="宋体"/>
          <w:sz w:val="24"/>
          <w:szCs w:val="24"/>
        </w:rPr>
        <w:t>新化化工根据 ISO14001环境管理体系，制定了环境管理程序、制度、方案和应急</w:t>
      </w:r>
    </w:p>
    <w:p w14:paraId="5E25FED7">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措施，并使各项工作、各个环节和流程按照ISO14001环境管理体系运行，一方面减少公司经营对环境造成的影响（废水、废气、噪音、废弃物等），另一方面逐步减少原料、水、电、油、汽、纸张等能源、资源方面的消耗，同时，加强产品安全防护，严格控制产品中杂质等有害物质的含量，对设备按时保养维修，以免泄漏造成能源损耗或环境污染。</w:t>
      </w:r>
    </w:p>
    <w:p w14:paraId="382F565B">
      <w:pPr>
        <w:autoSpaceDE w:val="0"/>
        <w:autoSpaceDN w:val="0"/>
        <w:adjustRightInd w:val="0"/>
        <w:spacing w:line="440" w:lineRule="exact"/>
        <w:jc w:val="left"/>
        <w:outlineLvl w:val="0"/>
        <w:rPr>
          <w:rFonts w:hint="eastAsia" w:ascii="宋体" w:hAnsi="宋体" w:eastAsia="宋体" w:cs="宋体"/>
          <w:sz w:val="24"/>
          <w:szCs w:val="24"/>
        </w:rPr>
      </w:pPr>
      <w:r>
        <w:rPr>
          <w:rFonts w:hint="eastAsia" w:ascii="宋体" w:hAnsi="宋体" w:eastAsia="宋体" w:cs="宋体"/>
          <w:b w:val="0"/>
          <w:bCs/>
          <w:sz w:val="24"/>
          <w:szCs w:val="24"/>
        </w:rPr>
        <w:t>4.1.2</w:t>
      </w:r>
      <w:r>
        <w:rPr>
          <w:rFonts w:hint="eastAsia" w:ascii="宋体" w:hAnsi="宋体" w:eastAsia="宋体" w:cs="宋体"/>
          <w:sz w:val="24"/>
          <w:szCs w:val="24"/>
        </w:rPr>
        <w:t>推进低碳节能，实施清洁生产</w:t>
      </w:r>
    </w:p>
    <w:p w14:paraId="1BF5DF3A">
      <w:pPr>
        <w:autoSpaceDE w:val="0"/>
        <w:autoSpaceDN w:val="0"/>
        <w:adjustRightInd w:val="0"/>
        <w:spacing w:line="4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报告期内，为响应上级环保部门节能减排的号召，新化化工对锅炉烟气进行脱硝脱硫除尘改造，大量减少了二氧化碳、二氧化硫、烟尘、粉尘等污染物排放。公司还对污水处理技术进行全面的提升，减少了水中有害物的排放，对提高环境质量、调整经济结构、转变增长方式具有重要意义。</w:t>
      </w:r>
    </w:p>
    <w:p w14:paraId="2EC3DD6C">
      <w:pPr>
        <w:autoSpaceDE w:val="0"/>
        <w:autoSpaceDN w:val="0"/>
        <w:adjustRightInd w:val="0"/>
        <w:spacing w:line="440" w:lineRule="exact"/>
        <w:jc w:val="left"/>
        <w:outlineLvl w:val="0"/>
        <w:rPr>
          <w:rFonts w:hint="eastAsia" w:ascii="宋体" w:hAnsi="宋体" w:eastAsia="宋体" w:cs="宋体"/>
          <w:sz w:val="24"/>
          <w:szCs w:val="24"/>
        </w:rPr>
      </w:pPr>
      <w:r>
        <w:rPr>
          <w:rFonts w:hint="eastAsia" w:ascii="宋体" w:hAnsi="宋体" w:eastAsia="宋体" w:cs="宋体"/>
          <w:sz w:val="24"/>
          <w:szCs w:val="24"/>
        </w:rPr>
        <w:t>4.2 推广绿色办公政策</w:t>
      </w:r>
    </w:p>
    <w:p w14:paraId="2088A27D">
      <w:pPr>
        <w:pStyle w:val="12"/>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4.2.1 办公区采用节能灯具照明，做到人走灯灭； </w:t>
      </w:r>
    </w:p>
    <w:p w14:paraId="0658CF8B">
      <w:pPr>
        <w:pStyle w:val="12"/>
        <w:spacing w:line="440" w:lineRule="exact"/>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4.2.2 推广无纸化办公，实行废纸再利用； </w:t>
      </w:r>
    </w:p>
    <w:p w14:paraId="6CBE6167">
      <w:pPr>
        <w:spacing w:line="440" w:lineRule="exact"/>
        <w:rPr>
          <w:rFonts w:hint="eastAsia" w:ascii="宋体" w:hAnsi="宋体" w:eastAsia="宋体" w:cs="宋体"/>
          <w:sz w:val="24"/>
          <w:szCs w:val="24"/>
        </w:rPr>
      </w:pPr>
      <w:r>
        <w:rPr>
          <w:rFonts w:hint="eastAsia" w:ascii="宋体" w:hAnsi="宋体" w:eastAsia="宋体" w:cs="宋体"/>
          <w:sz w:val="24"/>
          <w:szCs w:val="24"/>
        </w:rPr>
        <w:t>4.2.3 减少会议次数，缩短会议时间，降低会议成本。</w:t>
      </w:r>
    </w:p>
    <w:p w14:paraId="254F23B9">
      <w:pPr>
        <w:spacing w:line="440" w:lineRule="exact"/>
        <w:rPr>
          <w:rFonts w:hint="eastAsia" w:ascii="宋体" w:hAnsi="宋体" w:eastAsia="宋体" w:cs="宋体"/>
          <w:sz w:val="24"/>
          <w:szCs w:val="24"/>
        </w:rPr>
      </w:pPr>
      <w:r>
        <w:rPr>
          <w:rFonts w:hint="eastAsia" w:ascii="黑体" w:hAnsi="黑体" w:eastAsia="黑体" w:cs="黑体"/>
          <w:sz w:val="24"/>
          <w:szCs w:val="24"/>
        </w:rPr>
        <w:t>5.公平运行实践</w:t>
      </w:r>
    </w:p>
    <w:p w14:paraId="0B231C30">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5.1、实施严格的风险控制</w:t>
      </w:r>
    </w:p>
    <w:p w14:paraId="39321CFE">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报告期内，公司实施严格的风险控制，降低投资风险，减少债务风险，促进了各项业务的平稳发展，实现了资产的保值增值，保持了良好的信用等级。</w:t>
      </w:r>
    </w:p>
    <w:p w14:paraId="2889F308">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5.2 每年合理分红，回报股东</w:t>
      </w:r>
    </w:p>
    <w:p w14:paraId="32B2EFB7">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 xml:space="preserve">    公司认为：给予投资者合理的投资回报，为投资者提供分享经济增长成果的机会，是公司应尽的责任和义务；</w:t>
      </w:r>
    </w:p>
    <w:p w14:paraId="6B73B003">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新化化工在兼顾企业长远发展的同时，坚持执行每年分红政策，通过《公司章程》明确利润分配政策尤其是现金分红政策的决策程序、机制和具体内容等相关事项，强化对股东持续、健康、稳定、科学的回报机制。</w:t>
      </w:r>
    </w:p>
    <w:p w14:paraId="4829D771">
      <w:pPr>
        <w:autoSpaceDE w:val="0"/>
        <w:autoSpaceDN w:val="0"/>
        <w:adjustRightInd w:val="0"/>
        <w:spacing w:line="440" w:lineRule="exact"/>
        <w:jc w:val="left"/>
        <w:outlineLvl w:val="0"/>
        <w:rPr>
          <w:rFonts w:hint="eastAsia" w:ascii="宋体" w:hAnsi="宋体" w:eastAsia="宋体" w:cs="宋体"/>
          <w:sz w:val="24"/>
          <w:szCs w:val="24"/>
        </w:rPr>
      </w:pPr>
      <w:r>
        <w:rPr>
          <w:rFonts w:hint="eastAsia" w:ascii="宋体" w:hAnsi="宋体" w:eastAsia="宋体" w:cs="宋体"/>
          <w:b w:val="0"/>
          <w:bCs/>
          <w:sz w:val="24"/>
          <w:szCs w:val="24"/>
        </w:rPr>
        <w:t>5.3</w:t>
      </w:r>
      <w:r>
        <w:rPr>
          <w:rFonts w:hint="eastAsia" w:ascii="宋体" w:hAnsi="宋体" w:eastAsia="宋体" w:cs="宋体"/>
          <w:sz w:val="24"/>
          <w:szCs w:val="24"/>
        </w:rPr>
        <w:t xml:space="preserve"> 提升信息披露水平</w:t>
      </w:r>
    </w:p>
    <w:p w14:paraId="1E437C89">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报告期内，新化化工继续优化信息披露管理机制，加强信息披露管理工作，提高信息披露管理水平和质量，通过法制化、规范化、制度化、程序化运营，健全以诚信为指导、合规为主导的信息披露体系。</w:t>
      </w:r>
    </w:p>
    <w:p w14:paraId="62495BD1">
      <w:pPr>
        <w:autoSpaceDE w:val="0"/>
        <w:autoSpaceDN w:val="0"/>
        <w:adjustRightInd w:val="0"/>
        <w:spacing w:line="440" w:lineRule="exact"/>
        <w:jc w:val="left"/>
        <w:outlineLvl w:val="0"/>
        <w:rPr>
          <w:rFonts w:hint="eastAsia" w:ascii="宋体" w:hAnsi="宋体" w:eastAsia="宋体" w:cs="宋体"/>
          <w:sz w:val="24"/>
          <w:szCs w:val="24"/>
        </w:rPr>
      </w:pPr>
      <w:r>
        <w:rPr>
          <w:rFonts w:hint="eastAsia" w:ascii="宋体" w:hAnsi="宋体" w:eastAsia="宋体" w:cs="宋体"/>
          <w:sz w:val="24"/>
          <w:szCs w:val="24"/>
        </w:rPr>
        <w:t>5.3.1注重诚信披露，坚持合规披露</w:t>
      </w:r>
    </w:p>
    <w:p w14:paraId="4626FFE9">
      <w:pPr>
        <w:autoSpaceDE w:val="0"/>
        <w:autoSpaceDN w:val="0"/>
        <w:adjustRightInd w:val="0"/>
        <w:spacing w:line="440" w:lineRule="exact"/>
        <w:ind w:left="480"/>
        <w:jc w:val="left"/>
        <w:rPr>
          <w:rFonts w:hint="eastAsia" w:ascii="宋体" w:hAnsi="宋体" w:eastAsia="宋体" w:cs="宋体"/>
          <w:sz w:val="24"/>
          <w:szCs w:val="24"/>
        </w:rPr>
      </w:pPr>
      <w:r>
        <w:rPr>
          <w:rFonts w:hint="eastAsia" w:ascii="宋体" w:hAnsi="宋体" w:eastAsia="宋体" w:cs="宋体"/>
          <w:sz w:val="24"/>
          <w:szCs w:val="24"/>
        </w:rPr>
        <w:t>新化化工信息披露管理机制以诚信披露为基本方针，以合规披露为基本方略：</w:t>
      </w:r>
    </w:p>
    <w:p w14:paraId="1C9FF75C">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首先，强调信息披露诚信化，将诚信理念融入信息披露管理全过程，贯穿信息披露管理各方面，确保披露内容不存在任何虚假记载、误导性陈述或者重大遗漏；</w:t>
      </w:r>
    </w:p>
    <w:p w14:paraId="2B0576BE">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其次，坚持信息披露合规化，明确披露标准，规范披露流程，加强披露管理，确保披露内容真实、准确、完整、及时、公平，符合有关法律法规以及相关监管机构要求；</w:t>
      </w:r>
    </w:p>
    <w:p w14:paraId="6EC73A04">
      <w:pPr>
        <w:autoSpaceDE w:val="0"/>
        <w:autoSpaceDN w:val="0"/>
        <w:adjustRightInd w:val="0"/>
        <w:spacing w:line="440" w:lineRule="exact"/>
        <w:jc w:val="left"/>
        <w:outlineLvl w:val="0"/>
        <w:rPr>
          <w:rFonts w:hint="eastAsia" w:ascii="宋体" w:hAnsi="宋体" w:eastAsia="宋体" w:cs="宋体"/>
          <w:sz w:val="24"/>
          <w:szCs w:val="24"/>
        </w:rPr>
      </w:pPr>
      <w:r>
        <w:rPr>
          <w:rFonts w:hint="eastAsia" w:ascii="宋体" w:hAnsi="宋体" w:eastAsia="宋体" w:cs="宋体"/>
          <w:sz w:val="24"/>
          <w:szCs w:val="24"/>
        </w:rPr>
        <w:t>5.3.2 实施制度管理，强化引导教育</w:t>
      </w:r>
    </w:p>
    <w:p w14:paraId="57F58685">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新化化工充分认识到只有实行最严格的制度、最严谨的治理，才能为信息披露诚信合规提供可靠保障。</w:t>
      </w:r>
    </w:p>
    <w:p w14:paraId="7FB87D63">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方面，新化化工以企业文化为纲领，以法规政策为指导，以治理体制为支撑，将制度健全、管理规范作为切入点，严格实行制度化管理，从严执行信息披露程序，不断提高信息披露管理水平和质量，保护公司、股东、债权人及其他利益相关人的合法权益；</w:t>
      </w:r>
    </w:p>
    <w:p w14:paraId="7B74F91C">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另一方面，为保证社会各界从正规渠道了解公司情况，客观科学公正地评价公司，公司指定董事会秘书负责信息披露工作。</w:t>
      </w:r>
    </w:p>
    <w:p w14:paraId="086FFF47">
      <w:pPr>
        <w:autoSpaceDE w:val="0"/>
        <w:autoSpaceDN w:val="0"/>
        <w:adjustRightInd w:val="0"/>
        <w:spacing w:line="440" w:lineRule="exact"/>
        <w:jc w:val="left"/>
        <w:rPr>
          <w:rFonts w:hint="eastAsia" w:ascii="宋体" w:hAnsi="宋体" w:eastAsia="宋体" w:cs="宋体"/>
          <w:sz w:val="24"/>
          <w:szCs w:val="24"/>
        </w:rPr>
      </w:pPr>
    </w:p>
    <w:p w14:paraId="441D60D7">
      <w:pPr>
        <w:autoSpaceDE w:val="0"/>
        <w:autoSpaceDN w:val="0"/>
        <w:adjustRightInd w:val="0"/>
        <w:spacing w:line="440" w:lineRule="exact"/>
        <w:jc w:val="left"/>
        <w:outlineLvl w:val="0"/>
        <w:rPr>
          <w:rFonts w:hint="eastAsia" w:ascii="黑体" w:hAnsi="黑体" w:eastAsia="黑体" w:cs="黑体"/>
          <w:sz w:val="24"/>
          <w:szCs w:val="24"/>
        </w:rPr>
      </w:pPr>
      <w:r>
        <w:rPr>
          <w:rFonts w:hint="eastAsia" w:ascii="黑体" w:hAnsi="黑体" w:eastAsia="黑体" w:cs="黑体"/>
          <w:sz w:val="24"/>
          <w:szCs w:val="24"/>
        </w:rPr>
        <w:t xml:space="preserve">6 </w:t>
      </w:r>
      <w:r>
        <w:rPr>
          <w:rFonts w:hint="eastAsia" w:ascii="黑体" w:hAnsi="黑体" w:eastAsia="黑体" w:cs="黑体"/>
          <w:sz w:val="24"/>
          <w:szCs w:val="24"/>
          <w:lang w:eastAsia="zh-CN"/>
        </w:rPr>
        <w:t>相关方</w:t>
      </w:r>
      <w:r>
        <w:rPr>
          <w:rFonts w:hint="eastAsia" w:ascii="黑体" w:hAnsi="黑体" w:eastAsia="黑体" w:cs="黑体"/>
          <w:sz w:val="24"/>
          <w:szCs w:val="24"/>
        </w:rPr>
        <w:t>问题</w:t>
      </w:r>
    </w:p>
    <w:p w14:paraId="3A6F250E">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b w:val="0"/>
          <w:bCs/>
          <w:sz w:val="24"/>
          <w:szCs w:val="24"/>
        </w:rPr>
        <w:t>6.1</w:t>
      </w:r>
      <w:r>
        <w:rPr>
          <w:rFonts w:hint="eastAsia" w:ascii="宋体" w:hAnsi="宋体" w:eastAsia="宋体" w:cs="宋体"/>
          <w:b/>
          <w:sz w:val="24"/>
          <w:szCs w:val="24"/>
        </w:rPr>
        <w:t xml:space="preserve"> </w:t>
      </w:r>
      <w:r>
        <w:rPr>
          <w:rFonts w:hint="eastAsia" w:ascii="宋体" w:hAnsi="宋体" w:eastAsia="宋体" w:cs="宋体"/>
          <w:sz w:val="24"/>
          <w:szCs w:val="24"/>
        </w:rPr>
        <w:t>提升服务质量</w:t>
      </w:r>
    </w:p>
    <w:p w14:paraId="59477D67">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cs="宋体"/>
          <w:sz w:val="24"/>
          <w:szCs w:val="24"/>
          <w:lang w:eastAsia="zh-CN"/>
        </w:rPr>
        <w:t>新化股份</w:t>
      </w:r>
      <w:r>
        <w:rPr>
          <w:rFonts w:hint="eastAsia" w:ascii="宋体" w:hAnsi="宋体" w:eastAsia="宋体" w:cs="宋体"/>
          <w:sz w:val="24"/>
          <w:szCs w:val="24"/>
        </w:rPr>
        <w:t>把“顾客满意”的方针贯彻到每一个服务流程。首先是组织机构的保证和服务网络的完善，建立了完善的服务管理体系，制定了明确的服务职责，使信息反馈、服务资料、产品质量处理的工作效率大大提高。</w:t>
      </w:r>
    </w:p>
    <w:p w14:paraId="4571DDDD">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同时，通过拓宽以网站、微信、会员网站等为载体的即时交流渠道以及以服务 VIP客户为主的短信平台，传播</w:t>
      </w:r>
      <w:r>
        <w:rPr>
          <w:rFonts w:hint="eastAsia" w:ascii="宋体" w:hAnsi="宋体" w:cs="宋体"/>
          <w:sz w:val="24"/>
          <w:szCs w:val="24"/>
          <w:lang w:eastAsia="zh-CN"/>
        </w:rPr>
        <w:t>新化股份</w:t>
      </w:r>
      <w:r>
        <w:rPr>
          <w:rFonts w:hint="eastAsia" w:ascii="宋体" w:hAnsi="宋体" w:eastAsia="宋体" w:cs="宋体"/>
          <w:sz w:val="24"/>
          <w:szCs w:val="24"/>
        </w:rPr>
        <w:t>的品牌文化内涵，方便客户深入了解、感知</w:t>
      </w:r>
      <w:r>
        <w:rPr>
          <w:rFonts w:hint="eastAsia" w:ascii="宋体" w:hAnsi="宋体" w:cs="宋体"/>
          <w:sz w:val="24"/>
          <w:szCs w:val="24"/>
          <w:lang w:eastAsia="zh-CN"/>
        </w:rPr>
        <w:t>新化股份</w:t>
      </w:r>
      <w:r>
        <w:rPr>
          <w:rFonts w:hint="eastAsia" w:ascii="宋体" w:hAnsi="宋体" w:eastAsia="宋体" w:cs="宋体"/>
          <w:sz w:val="24"/>
          <w:szCs w:val="24"/>
        </w:rPr>
        <w:t>。</w:t>
      </w:r>
    </w:p>
    <w:p w14:paraId="1A16288E">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b w:val="0"/>
          <w:bCs/>
          <w:sz w:val="24"/>
          <w:szCs w:val="24"/>
        </w:rPr>
        <w:t xml:space="preserve">6.2 </w:t>
      </w:r>
      <w:r>
        <w:rPr>
          <w:rFonts w:hint="eastAsia" w:ascii="宋体" w:hAnsi="宋体" w:eastAsia="宋体" w:cs="宋体"/>
          <w:sz w:val="24"/>
          <w:szCs w:val="24"/>
        </w:rPr>
        <w:t>加强供应商管理</w:t>
      </w:r>
    </w:p>
    <w:p w14:paraId="18D73F90">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报告期内，公司继续强化责任采购制度，完善采购流程及相关机制，加强供应商管理。在培育、优化供应链方面，公司通过综合衡量供应商的开发设计能力、质量把控能力、及时交货的生产能力、价格供应优势、守法合规、环境保护、劳工权益保护、诚信经营等考核指标，分级确定战略合作供应商、辅助合作供应商。</w:t>
      </w:r>
    </w:p>
    <w:p w14:paraId="15406810">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b w:val="0"/>
          <w:bCs/>
          <w:sz w:val="24"/>
          <w:szCs w:val="24"/>
        </w:rPr>
        <w:t xml:space="preserve">6.3 </w:t>
      </w:r>
      <w:r>
        <w:rPr>
          <w:rFonts w:hint="eastAsia" w:ascii="宋体" w:hAnsi="宋体" w:eastAsia="宋体" w:cs="宋体"/>
          <w:sz w:val="24"/>
          <w:szCs w:val="24"/>
        </w:rPr>
        <w:t>尊重同业竞争者</w:t>
      </w:r>
    </w:p>
    <w:p w14:paraId="3E8E3A95">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公司一直尊重同业竞争者，讲求公平竞争，坚决反对垄断经营、违规操作、商业欺诈等不正当商业行为，在业界塑造了良好的口碑与社会形象。</w:t>
      </w:r>
    </w:p>
    <w:p w14:paraId="22F9BBF7">
      <w:pPr>
        <w:autoSpaceDE w:val="0"/>
        <w:autoSpaceDN w:val="0"/>
        <w:adjustRightInd w:val="0"/>
        <w:spacing w:line="440" w:lineRule="exact"/>
        <w:jc w:val="left"/>
        <w:rPr>
          <w:rFonts w:hint="eastAsia" w:ascii="宋体" w:hAnsi="宋体" w:eastAsia="宋体" w:cs="宋体"/>
          <w:sz w:val="24"/>
          <w:szCs w:val="24"/>
        </w:rPr>
      </w:pPr>
    </w:p>
    <w:p w14:paraId="1E337A16">
      <w:pPr>
        <w:autoSpaceDE w:val="0"/>
        <w:autoSpaceDN w:val="0"/>
        <w:adjustRightInd w:val="0"/>
        <w:spacing w:line="440" w:lineRule="exact"/>
        <w:jc w:val="left"/>
        <w:rPr>
          <w:rFonts w:hint="eastAsia" w:ascii="黑体" w:hAnsi="黑体" w:eastAsia="黑体" w:cs="黑体"/>
          <w:sz w:val="24"/>
          <w:szCs w:val="24"/>
        </w:rPr>
      </w:pPr>
      <w:r>
        <w:rPr>
          <w:rFonts w:hint="eastAsia" w:ascii="黑体" w:hAnsi="黑体" w:eastAsia="黑体" w:cs="黑体"/>
          <w:sz w:val="24"/>
          <w:szCs w:val="24"/>
        </w:rPr>
        <w:t>7 消费者问题</w:t>
      </w:r>
    </w:p>
    <w:p w14:paraId="72A72307">
      <w:pPr>
        <w:autoSpaceDE w:val="0"/>
        <w:autoSpaceDN w:val="0"/>
        <w:adjustRightInd w:val="0"/>
        <w:spacing w:line="440" w:lineRule="exact"/>
        <w:ind w:right="-153" w:rightChars="-73" w:firstLine="480" w:firstLineChars="200"/>
        <w:rPr>
          <w:rFonts w:hint="eastAsia" w:ascii="宋体" w:hAnsi="宋体" w:eastAsia="宋体" w:cs="宋体"/>
          <w:b/>
          <w:kern w:val="0"/>
          <w:sz w:val="24"/>
          <w:szCs w:val="24"/>
          <w:lang w:val="zh-CN"/>
        </w:rPr>
      </w:pPr>
      <w:r>
        <w:rPr>
          <w:rFonts w:hint="eastAsia" w:ascii="宋体" w:hAnsi="宋体" w:eastAsia="宋体" w:cs="宋体"/>
          <w:sz w:val="24"/>
          <w:szCs w:val="24"/>
          <w:lang w:val="zh-CN"/>
        </w:rPr>
        <w:t>根据公司所属行业性质、产品特性，</w:t>
      </w:r>
      <w:r>
        <w:rPr>
          <w:rFonts w:hint="eastAsia" w:ascii="宋体" w:hAnsi="宋体" w:eastAsia="宋体" w:cs="宋体"/>
          <w:sz w:val="24"/>
          <w:szCs w:val="24"/>
        </w:rPr>
        <w:t>我们应确保核心业务在国内外市场中占据绝对竞争优势地位，</w:t>
      </w:r>
      <w:r>
        <w:rPr>
          <w:rFonts w:hint="eastAsia" w:ascii="宋体" w:hAnsi="宋体" w:eastAsia="宋体" w:cs="宋体"/>
          <w:sz w:val="24"/>
          <w:szCs w:val="24"/>
          <w:lang w:val="zh-CN"/>
        </w:rPr>
        <w:t>来确定目标顾客群和细分市场。</w:t>
      </w:r>
    </w:p>
    <w:p w14:paraId="40AB65D6">
      <w:pPr>
        <w:pStyle w:val="13"/>
        <w:spacing w:after="0" w:afterLines="0" w:line="440" w:lineRule="exact"/>
        <w:ind w:firstLine="480" w:firstLineChars="200"/>
        <w:jc w:val="both"/>
        <w:rPr>
          <w:rFonts w:hint="eastAsia" w:ascii="宋体" w:hAnsi="宋体" w:eastAsia="宋体" w:cs="宋体"/>
          <w:b w:val="0"/>
          <w:color w:val="auto"/>
          <w:sz w:val="24"/>
          <w:szCs w:val="24"/>
        </w:rPr>
      </w:pPr>
      <w:r>
        <w:rPr>
          <w:rFonts w:hint="eastAsia" w:ascii="宋体" w:hAnsi="宋体" w:eastAsia="宋体" w:cs="宋体"/>
          <w:b w:val="0"/>
          <w:color w:val="auto"/>
          <w:sz w:val="24"/>
          <w:szCs w:val="24"/>
        </w:rPr>
        <w:t>与顾客建立长期合作关系，公司通过各种渠道了解顾客的需求、经营状况及发展前景，对战略顾客和重点顾客建立长期合作关系，每年安排公司高层领导进行走访，听取顾客的声音，从而增加顾客的信任、培养顾客的忠诚度，把顾客从一般的业务关系提高到战略合作关系。</w:t>
      </w:r>
    </w:p>
    <w:p w14:paraId="1642417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针对客户的管理，公司建立对话互访关系和多渠道信息沟通，通过交流或商务活动，力争得到客户的认同，把客户关系从个体忠诚提升为组织忠诚。公司成功的秘诀就是它们能够有效协同生产、技术、物管、营销等多个部门，组成跨部门、跨职能的客户服务组织，多项服务以及一体化解决方案为客户提供了更大价值。首先，新化与客户之间是一种建立在双赢基础之上的合作，互信互依，共同制定产品升级与创新计划或为降低整个系统的成本而共同努力。其次，公司投入大量资源，专注于深度参与客户的发展，客户也深度关注新化发展并给予支持。</w:t>
      </w:r>
    </w:p>
    <w:p w14:paraId="55C93F26">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公司还通过数据和信息管理、面向顾客的应用程序以及对基础设施和体系结构的投资，建立自己的价值观和客户服务体系，以此提升客户的忠诚度。</w:t>
      </w:r>
    </w:p>
    <w:p w14:paraId="76833124">
      <w:pPr>
        <w:widowControl/>
        <w:snapToGrid w:val="0"/>
        <w:spacing w:line="440" w:lineRule="exact"/>
        <w:jc w:val="left"/>
        <w:outlineLvl w:val="1"/>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8</w:t>
      </w:r>
      <w:r>
        <w:rPr>
          <w:rFonts w:hint="eastAsia" w:ascii="黑体" w:hAnsi="黑体" w:eastAsia="黑体" w:cs="黑体"/>
          <w:b w:val="0"/>
          <w:bCs w:val="0"/>
          <w:sz w:val="24"/>
          <w:szCs w:val="24"/>
        </w:rPr>
        <w:t xml:space="preserve"> 社区参与和发展</w:t>
      </w:r>
    </w:p>
    <w:p w14:paraId="15BAE6CE">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社区参与和发展是企业可持续发展的重要组成部分，公司积极支持社区的发展，为社区发展做出企业应有的责任。</w:t>
      </w:r>
    </w:p>
    <w:p w14:paraId="5FFD822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公司热心社会公益事业，将其视作自身必然的社会责任并自觉履行，积极开展各类帮扶困难群体、救灾济困等活动。 </w:t>
      </w:r>
    </w:p>
    <w:p w14:paraId="33FC22CD">
      <w:pPr>
        <w:widowControl/>
        <w:snapToGrid w:val="0"/>
        <w:spacing w:line="440" w:lineRule="exact"/>
        <w:ind w:firstLine="480" w:firstLineChars="200"/>
        <w:jc w:val="lef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公司在关注公司自身发展的同时，注重企业社会责任的履行以及企业社会价值的实现，通过捐赠扶贫、助学、关爱退役军人、向慈善总会捐款等多种方式积极履行企业社会责任。</w:t>
      </w:r>
    </w:p>
    <w:p w14:paraId="0224F8B6">
      <w:pPr>
        <w:widowControl/>
        <w:snapToGrid w:val="0"/>
        <w:spacing w:line="440" w:lineRule="exact"/>
        <w:ind w:firstLine="480" w:firstLineChars="200"/>
        <w:jc w:val="left"/>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 年，公司及各子公司开展公益活动累计捐赠金额 2</w:t>
      </w:r>
      <w:r>
        <w:rPr>
          <w:rFonts w:hint="eastAsia" w:ascii="宋体" w:hAnsi="宋体" w:cs="宋体"/>
          <w:sz w:val="24"/>
          <w:szCs w:val="24"/>
          <w:lang w:val="en-US" w:eastAsia="zh-CN"/>
        </w:rPr>
        <w:t>28.4</w:t>
      </w:r>
      <w:r>
        <w:rPr>
          <w:rFonts w:hint="eastAsia" w:ascii="宋体" w:hAnsi="宋体" w:eastAsia="宋体" w:cs="宋体"/>
          <w:sz w:val="24"/>
          <w:szCs w:val="24"/>
          <w:lang w:val="en-US" w:eastAsia="zh-CN"/>
        </w:rPr>
        <w:t>万元。</w:t>
      </w:r>
    </w:p>
    <w:p w14:paraId="57DDA298">
      <w:pPr>
        <w:widowControl/>
        <w:snapToGrid w:val="0"/>
        <w:spacing w:line="440" w:lineRule="exact"/>
        <w:jc w:val="left"/>
        <w:outlineLvl w:val="1"/>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9</w:t>
      </w:r>
      <w:r>
        <w:rPr>
          <w:rFonts w:hint="eastAsia" w:ascii="黑体" w:hAnsi="黑体" w:eastAsia="黑体" w:cs="黑体"/>
          <w:b w:val="0"/>
          <w:bCs w:val="0"/>
          <w:sz w:val="24"/>
          <w:szCs w:val="24"/>
        </w:rPr>
        <w:t xml:space="preserve"> 公司202</w:t>
      </w:r>
      <w:r>
        <w:rPr>
          <w:rFonts w:hint="eastAsia" w:ascii="黑体" w:hAnsi="黑体" w:eastAsia="黑体" w:cs="黑体"/>
          <w:b w:val="0"/>
          <w:bCs w:val="0"/>
          <w:sz w:val="24"/>
          <w:szCs w:val="24"/>
          <w:lang w:val="en-US" w:eastAsia="zh-CN"/>
        </w:rPr>
        <w:t>4</w:t>
      </w:r>
      <w:r>
        <w:rPr>
          <w:rFonts w:hint="eastAsia" w:ascii="黑体" w:hAnsi="黑体" w:eastAsia="黑体" w:cs="黑体"/>
          <w:b w:val="0"/>
          <w:bCs w:val="0"/>
          <w:sz w:val="24"/>
          <w:szCs w:val="24"/>
        </w:rPr>
        <w:t>年获得政府和社会确认的荣誉和奖项</w:t>
      </w:r>
    </w:p>
    <w:p w14:paraId="3790C237">
      <w:pPr>
        <w:widowControl w:val="0"/>
        <w:numPr>
          <w:ilvl w:val="0"/>
          <w:numId w:val="0"/>
        </w:numPr>
        <w:jc w:val="both"/>
        <w:rPr>
          <w:rFonts w:hint="eastAsia" w:ascii="宋体" w:hAnsi="宋体" w:eastAsia="宋体" w:cs="宋体"/>
          <w:sz w:val="21"/>
          <w:szCs w:val="21"/>
          <w:lang w:val="en-US" w:eastAsia="zh-CN"/>
        </w:rPr>
      </w:pPr>
    </w:p>
    <w:p w14:paraId="6EB457BC">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异丙胺、新型无卤有机阻燃剂获国家专利密集型产品</w:t>
      </w:r>
    </w:p>
    <w:p w14:paraId="50E89C75">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中国石油和化学工业联合会理事单位</w:t>
      </w:r>
    </w:p>
    <w:p w14:paraId="3E84F886">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2024石油和化工企业销售收入前500家综合类)第367名</w:t>
      </w:r>
    </w:p>
    <w:p w14:paraId="4D69B0E0">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2024基础化学原料企业销售收入前100家第81名</w:t>
      </w:r>
    </w:p>
    <w:p w14:paraId="1E6BE782">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2024石油和化工上市公司销售收入前500家第254名</w:t>
      </w:r>
    </w:p>
    <w:p w14:paraId="3CA3BC35">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“XHPFR-高性能二乙基次膦酸铝基复合阻燃剂”被评为2024年度浙江省首批次新材料</w:t>
      </w:r>
    </w:p>
    <w:p w14:paraId="0273C1BF">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杭州市企业标准化总师联盟理事单位</w:t>
      </w:r>
    </w:p>
    <w:p w14:paraId="28C26ED3">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“异丙基胺的高效合成及产业化开发”获2024年度中国商业联合会 科技进步奖一等奖</w:t>
      </w:r>
    </w:p>
    <w:p w14:paraId="670CCF37">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杭州市高新技术企业协会常务理事单位</w:t>
      </w:r>
    </w:p>
    <w:p w14:paraId="746287FB">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浙江省化学工业科学技术奖三等奖（高性能聚酰胺无卤阻燃母粒的关键技术开发与应用）</w:t>
      </w:r>
    </w:p>
    <w:p w14:paraId="0E5A5543">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2025年杭州市知识产权促进会单位会员</w:t>
      </w:r>
    </w:p>
    <w:p w14:paraId="2241E85F">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2023年度杭州市“热血致青春”优秀组织单位</w:t>
      </w:r>
    </w:p>
    <w:p w14:paraId="40EF26EA">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2023年度浙江省禁毒守信模范单位</w:t>
      </w:r>
    </w:p>
    <w:p w14:paraId="0D1FDEA2">
      <w:pPr>
        <w:tabs>
          <w:tab w:val="left" w:pos="360"/>
        </w:tabs>
        <w:autoSpaceDE w:val="0"/>
        <w:autoSpaceDN w:val="0"/>
        <w:adjustRightInd w:val="0"/>
        <w:spacing w:line="440" w:lineRule="exact"/>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2024年度中国商业联合会科学技术奖科技进步奖一等奖：异丙基胺的高效合成及产业化开发</w:t>
      </w:r>
    </w:p>
    <w:p w14:paraId="348CFB37">
      <w:pPr>
        <w:tabs>
          <w:tab w:val="left" w:pos="360"/>
        </w:tabs>
        <w:autoSpaceDE w:val="0"/>
        <w:autoSpaceDN w:val="0"/>
        <w:adjustRightInd w:val="0"/>
        <w:spacing w:line="440" w:lineRule="exact"/>
        <w:jc w:val="left"/>
        <w:outlineLvl w:val="0"/>
        <w:rPr>
          <w:rFonts w:hint="eastAsia" w:ascii="宋体" w:hAnsi="宋体" w:eastAsia="宋体" w:cs="宋体"/>
          <w:sz w:val="24"/>
          <w:szCs w:val="24"/>
        </w:rPr>
      </w:pPr>
      <w:r>
        <w:rPr>
          <w:rFonts w:hint="eastAsia" w:ascii="黑体" w:hAnsi="黑体" w:eastAsia="黑体" w:cs="黑体"/>
          <w:sz w:val="24"/>
          <w:szCs w:val="24"/>
          <w:lang w:val="en-US" w:eastAsia="zh-CN"/>
        </w:rPr>
        <w:t>10</w:t>
      </w:r>
      <w:r>
        <w:rPr>
          <w:rFonts w:hint="eastAsia" w:ascii="黑体" w:hAnsi="黑体" w:eastAsia="黑体" w:cs="黑体"/>
          <w:sz w:val="24"/>
          <w:szCs w:val="24"/>
        </w:rPr>
        <w:t xml:space="preserve"> </w:t>
      </w:r>
      <w:r>
        <w:rPr>
          <w:rFonts w:hint="eastAsia" w:ascii="黑体" w:hAnsi="黑体" w:eastAsia="黑体" w:cs="黑体"/>
          <w:sz w:val="24"/>
          <w:szCs w:val="24"/>
          <w:lang w:eastAsia="zh-CN"/>
        </w:rPr>
        <w:t>新化股份</w:t>
      </w:r>
      <w:r>
        <w:rPr>
          <w:rFonts w:hint="eastAsia" w:ascii="黑体" w:hAnsi="黑体" w:eastAsia="黑体" w:cs="黑体"/>
          <w:sz w:val="24"/>
          <w:szCs w:val="24"/>
        </w:rPr>
        <w:t>之于未来</w:t>
      </w:r>
    </w:p>
    <w:p w14:paraId="1B2A0763">
      <w:pPr>
        <w:tabs>
          <w:tab w:val="left" w:pos="360"/>
        </w:tabs>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公司深刻地认识到，企业是市场经济的细胞。企业的社会性决定它必须积极承担社会责任，不能仅以利润最大化为自己唯一的目标，还应当最大限度地增进其他社会利益，包括消费者利益、职工利益、环境利益和社会公共利益等。</w:t>
      </w:r>
    </w:p>
    <w:p w14:paraId="6A7438B8">
      <w:pPr>
        <w:tabs>
          <w:tab w:val="left" w:pos="360"/>
        </w:tabs>
        <w:autoSpaceDE w:val="0"/>
        <w:autoSpaceDN w:val="0"/>
        <w:adjustRightInd w:val="0"/>
        <w:spacing w:line="440" w:lineRule="exact"/>
        <w:ind w:left="1" w:firstLine="480" w:firstLineChars="200"/>
        <w:jc w:val="lef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公司将继续沿着品牌创新和产业升级的道路，深化公司社会责任管理体系，强化社会责任意识，提升社会责任管理水平，全力打造效益升级版，释放发展红利促进社会资源最优增长，推动公司自身与社会全面协调的可持续发展。</w:t>
      </w:r>
    </w:p>
    <w:p w14:paraId="2D8C2472">
      <w:pPr>
        <w:spacing w:line="440" w:lineRule="exact"/>
        <w:ind w:firstLine="120" w:firstLineChars="50"/>
        <w:rPr>
          <w:rFonts w:hint="eastAsia" w:ascii="宋体" w:hAnsi="宋体" w:eastAsia="宋体" w:cs="宋体"/>
          <w:sz w:val="24"/>
          <w:szCs w:val="24"/>
        </w:rPr>
      </w:pPr>
    </w:p>
    <w:p w14:paraId="5D9CFBBF">
      <w:pPr>
        <w:spacing w:line="440" w:lineRule="exact"/>
        <w:ind w:firstLine="120" w:firstLineChars="50"/>
        <w:rPr>
          <w:rFonts w:hint="eastAsia" w:ascii="宋体" w:hAnsi="宋体" w:eastAsia="宋体" w:cs="宋体"/>
          <w:sz w:val="24"/>
          <w:szCs w:val="24"/>
        </w:rPr>
      </w:pPr>
    </w:p>
    <w:p w14:paraId="5D3CF092">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浙江新化化工股份有限公司董事会</w:t>
      </w:r>
    </w:p>
    <w:p w14:paraId="61DBA406">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highlight w:val="none"/>
        </w:rPr>
        <w:t xml:space="preserve">   二0二</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九</w:t>
      </w:r>
      <w:bookmarkStart w:id="2" w:name="_GoBack"/>
      <w:bookmarkEnd w:id="2"/>
      <w:r>
        <w:rPr>
          <w:rFonts w:hint="eastAsia" w:ascii="宋体" w:hAnsi="宋体" w:eastAsia="宋体" w:cs="宋体"/>
          <w:sz w:val="24"/>
          <w:szCs w:val="24"/>
          <w:highlight w:val="none"/>
        </w:rPr>
        <w:t>月</w:t>
      </w:r>
    </w:p>
    <w:sectPr>
      <w:headerReference r:id="rId3" w:type="default"/>
      <w:footerReference r:id="rId4" w:type="default"/>
      <w:pgSz w:w="11906" w:h="16838"/>
      <w:pgMar w:top="1531" w:right="136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7A75B">
    <w:pPr>
      <w:pStyle w:val="5"/>
      <w:jc w:val="center"/>
    </w:pPr>
    <w:r>
      <w:fldChar w:fldCharType="begin"/>
    </w:r>
    <w:r>
      <w:instrText xml:space="preserve"> PAGE   \* MERGEFORMAT </w:instrText>
    </w:r>
    <w:r>
      <w:fldChar w:fldCharType="separate"/>
    </w:r>
    <w:r>
      <w:rPr>
        <w:lang w:val="zh-CN"/>
      </w:rPr>
      <w:t>1</w:t>
    </w:r>
    <w:r>
      <w:fldChar w:fldCharType="end"/>
    </w:r>
  </w:p>
  <w:p w14:paraId="25E9B80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C27B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731A"/>
    <w:multiLevelType w:val="multilevel"/>
    <w:tmpl w:val="0EB9731A"/>
    <w:lvl w:ilvl="0" w:tentative="0">
      <w:start w:val="2"/>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M2UxNmRlYTA1MDMwZTA5MWNiZDFjODFjNTdiNGUifQ=="/>
  </w:docVars>
  <w:rsids>
    <w:rsidRoot w:val="00000000"/>
    <w:rsid w:val="01313127"/>
    <w:rsid w:val="08E3640C"/>
    <w:rsid w:val="123C7BF4"/>
    <w:rsid w:val="12964666"/>
    <w:rsid w:val="1D027CE7"/>
    <w:rsid w:val="1D816015"/>
    <w:rsid w:val="22DB1358"/>
    <w:rsid w:val="2CEE1B3E"/>
    <w:rsid w:val="2FAF1A36"/>
    <w:rsid w:val="3A3927B0"/>
    <w:rsid w:val="41AE048F"/>
    <w:rsid w:val="4E071B88"/>
    <w:rsid w:val="54A11B25"/>
    <w:rsid w:val="5E437DC7"/>
    <w:rsid w:val="60A425CE"/>
    <w:rsid w:val="69BE0CC3"/>
    <w:rsid w:val="6DEB66F0"/>
    <w:rsid w:val="731E0979"/>
    <w:rsid w:val="7B6F08BC"/>
    <w:rsid w:val="7D1E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360" w:lineRule="auto"/>
    </w:pPr>
    <w:rPr>
      <w:rFonts w:ascii="Times New Roman" w:hAnsi="Times New Roman"/>
      <w:sz w:val="24"/>
      <w:szCs w:val="20"/>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autoRedefine/>
    <w:qFormat/>
    <w:uiPriority w:val="0"/>
    <w:rPr>
      <w:b/>
      <w:bCs/>
    </w:rPr>
  </w:style>
  <w:style w:type="character" w:styleId="11">
    <w:name w:val="Hyperlink"/>
    <w:autoRedefine/>
    <w:unhideWhenUsed/>
    <w:qFormat/>
    <w:uiPriority w:val="99"/>
    <w:rPr>
      <w:color w:val="864654"/>
      <w:u w:val="single"/>
    </w:rPr>
  </w:style>
  <w:style w:type="paragraph" w:customStyle="1" w:styleId="1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图表题"/>
    <w:basedOn w:val="1"/>
    <w:autoRedefine/>
    <w:qFormat/>
    <w:uiPriority w:val="0"/>
    <w:pPr>
      <w:widowControl/>
      <w:spacing w:after="50" w:afterLines="50" w:line="300" w:lineRule="auto"/>
      <w:jc w:val="center"/>
    </w:pPr>
    <w:rPr>
      <w:b/>
      <w:color w:val="00000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8295</Words>
  <Characters>8444</Characters>
  <Lines>0</Lines>
  <Paragraphs>0</Paragraphs>
  <TotalTime>25</TotalTime>
  <ScaleCrop>false</ScaleCrop>
  <LinksUpToDate>false</LinksUpToDate>
  <CharactersWithSpaces>8629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2022-08-23T01:54:00Z</dcterms:created>
  <dc:creator>liushengfa</dc:creator>
  <cp:lastModifiedBy>13567150810</cp:lastModifiedBy>
  <dcterms:modified xsi:type="dcterms:W3CDTF">2025-09-09T05:14:13Z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622D696F01B54524A217010A831EA4C8</vt:lpwstr>
  </property>
  <property fmtid="{D5CDD505-2E9C-101B-9397-08002B2CF9AE}" pid="4" name="KSOTemplateDocerSaveRecord">
    <vt:lpwstr>eyJoZGlkIjoiZDk0M2UxNmRlYTA1MDMwZTA5MWNiZDFjODFjNTdiNGUiLCJ1c2VySWQiOiI5MjE4MDEyNDgifQ==</vt:lpwstr>
  </property>
</Properties>
</file>